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2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7094"/>
      </w:tblGrid>
      <w:tr w:rsidR="002A52C4" w:rsidRPr="00C057B3" w:rsidTr="002A52C4">
        <w:trPr>
          <w:trHeight w:val="1975"/>
        </w:trPr>
        <w:tc>
          <w:tcPr>
            <w:tcW w:w="2252" w:type="dxa"/>
          </w:tcPr>
          <w:p w:rsidR="002A52C4" w:rsidRPr="00C057B3" w:rsidRDefault="002A52C4" w:rsidP="002A52C4">
            <w:pPr>
              <w:jc w:val="center"/>
              <w:rPr>
                <w:rFonts w:asciiTheme="majorBidi" w:hAnsiTheme="majorBidi" w:cstheme="majorBidi"/>
                <w:b/>
                <w:color w:val="333333"/>
                <w:sz w:val="24"/>
                <w:szCs w:val="24"/>
                <w:shd w:val="clear" w:color="auto" w:fill="FCFCFC"/>
              </w:rPr>
            </w:pPr>
            <w:r>
              <w:rPr>
                <w:rFonts w:asciiTheme="majorBidi" w:hAnsiTheme="majorBidi" w:cstheme="majorBidi"/>
                <w:b/>
                <w:noProof/>
                <w:color w:val="333333"/>
                <w:sz w:val="24"/>
                <w:szCs w:val="24"/>
                <w:shd w:val="clear" w:color="auto" w:fill="FCFCFC"/>
              </w:rPr>
              <w:drawing>
                <wp:inline distT="0" distB="0" distL="0" distR="0" wp14:anchorId="2B2668C6" wp14:editId="7B8E2B26">
                  <wp:extent cx="762000" cy="838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838200"/>
                          </a:xfrm>
                          <a:prstGeom prst="rect">
                            <a:avLst/>
                          </a:prstGeom>
                        </pic:spPr>
                      </pic:pic>
                    </a:graphicData>
                  </a:graphic>
                </wp:inline>
              </w:drawing>
            </w:r>
          </w:p>
        </w:tc>
        <w:tc>
          <w:tcPr>
            <w:tcW w:w="7094" w:type="dxa"/>
            <w:shd w:val="clear" w:color="auto" w:fill="F2F2F2" w:themeFill="background1" w:themeFillShade="F2"/>
          </w:tcPr>
          <w:p w:rsidR="002A52C4" w:rsidRPr="00CD4C5B" w:rsidRDefault="002A52C4" w:rsidP="002A52C4">
            <w:pPr>
              <w:spacing w:before="240"/>
              <w:jc w:val="center"/>
              <w:rPr>
                <w:rFonts w:asciiTheme="majorBidi" w:hAnsiTheme="majorBidi" w:cstheme="majorBidi"/>
                <w:color w:val="000000" w:themeColor="text1"/>
                <w:sz w:val="18"/>
                <w:szCs w:val="18"/>
              </w:rPr>
            </w:pPr>
            <w:r w:rsidRPr="00C057B3">
              <w:rPr>
                <w:rFonts w:asciiTheme="majorBidi" w:hAnsiTheme="majorBidi" w:cstheme="majorBidi"/>
                <w:color w:val="000000" w:themeColor="text1"/>
                <w:sz w:val="18"/>
                <w:szCs w:val="18"/>
              </w:rPr>
              <w:t>Volume and Issues Obtainable at the Department of Tourism and Hospitality Management- The Islamia University of Bahawalpur, Bahawalpur, Pakistan 63100.</w:t>
            </w:r>
          </w:p>
          <w:p w:rsidR="002A52C4" w:rsidRPr="00C057B3" w:rsidRDefault="002A52C4" w:rsidP="002A52C4">
            <w:pPr>
              <w:jc w:val="center"/>
              <w:rPr>
                <w:rFonts w:asciiTheme="majorBidi" w:hAnsiTheme="majorBidi" w:cstheme="majorBidi"/>
                <w:b/>
                <w:bCs/>
                <w:color w:val="222E53"/>
              </w:rPr>
            </w:pPr>
            <w:r w:rsidRPr="00C057B3">
              <w:rPr>
                <w:rFonts w:asciiTheme="majorBidi" w:hAnsiTheme="majorBidi" w:cstheme="majorBidi"/>
                <w:b/>
                <w:bCs/>
                <w:color w:val="222E53"/>
              </w:rPr>
              <w:t>Journal of Tourism, Hospitality, and Services Industries Research</w:t>
            </w:r>
          </w:p>
          <w:p w:rsidR="002A52C4" w:rsidRPr="00C057B3" w:rsidRDefault="002A52C4" w:rsidP="002A52C4">
            <w:pPr>
              <w:jc w:val="center"/>
              <w:rPr>
                <w:rFonts w:asciiTheme="majorBidi" w:hAnsiTheme="majorBidi" w:cstheme="majorBidi"/>
                <w:color w:val="000000" w:themeColor="text1"/>
                <w:sz w:val="20"/>
                <w:szCs w:val="20"/>
              </w:rPr>
            </w:pPr>
            <w:r w:rsidRPr="00C057B3">
              <w:rPr>
                <w:rFonts w:asciiTheme="majorBidi" w:hAnsiTheme="majorBidi" w:cstheme="majorBidi"/>
                <w:color w:val="000000" w:themeColor="text1"/>
                <w:sz w:val="20"/>
                <w:szCs w:val="20"/>
              </w:rPr>
              <w:t xml:space="preserve">ISSN: </w:t>
            </w:r>
            <w:r>
              <w:rPr>
                <w:rFonts w:asciiTheme="majorBidi" w:hAnsiTheme="majorBidi" w:cstheme="majorBidi"/>
                <w:color w:val="000000" w:themeColor="text1"/>
                <w:sz w:val="20"/>
                <w:szCs w:val="20"/>
              </w:rPr>
              <w:t xml:space="preserve">2958-5570 ; ISSN (E): 2958-5589 </w:t>
            </w:r>
          </w:p>
          <w:p w:rsidR="002A52C4" w:rsidRPr="00C057B3" w:rsidRDefault="002A52C4" w:rsidP="002A52C4">
            <w:pPr>
              <w:jc w:val="center"/>
              <w:rPr>
                <w:rFonts w:asciiTheme="majorBidi" w:hAnsiTheme="majorBidi" w:cstheme="majorBidi"/>
                <w:color w:val="000000" w:themeColor="text1"/>
                <w:sz w:val="20"/>
                <w:szCs w:val="20"/>
              </w:rPr>
            </w:pPr>
            <w:r w:rsidRPr="00C057B3">
              <w:rPr>
                <w:rFonts w:asciiTheme="majorBidi" w:hAnsiTheme="majorBidi" w:cstheme="majorBidi"/>
                <w:color w:val="000000" w:themeColor="text1"/>
                <w:sz w:val="20"/>
                <w:szCs w:val="20"/>
              </w:rPr>
              <w:t xml:space="preserve">Volume </w:t>
            </w:r>
            <w:r>
              <w:rPr>
                <w:rFonts w:asciiTheme="majorBidi" w:hAnsiTheme="majorBidi" w:cstheme="majorBidi"/>
                <w:color w:val="000000" w:themeColor="text1"/>
                <w:sz w:val="20"/>
                <w:szCs w:val="20"/>
              </w:rPr>
              <w:t>3</w:t>
            </w:r>
            <w:r w:rsidRPr="00C057B3">
              <w:rPr>
                <w:rFonts w:asciiTheme="majorBidi" w:hAnsiTheme="majorBidi" w:cstheme="majorBidi"/>
                <w:color w:val="000000" w:themeColor="text1"/>
                <w:sz w:val="20"/>
                <w:szCs w:val="20"/>
              </w:rPr>
              <w:t xml:space="preserve">, No.1, </w:t>
            </w:r>
            <w:r w:rsidR="002A7083">
              <w:rPr>
                <w:rFonts w:asciiTheme="majorBidi" w:hAnsiTheme="majorBidi" w:cstheme="majorBidi"/>
                <w:color w:val="000000" w:themeColor="text1"/>
                <w:sz w:val="20"/>
                <w:szCs w:val="20"/>
              </w:rPr>
              <w:t>July</w:t>
            </w:r>
            <w:r w:rsidRPr="00C057B3">
              <w:rPr>
                <w:rFonts w:asciiTheme="majorBidi" w:hAnsiTheme="majorBidi" w:cstheme="majorBidi"/>
                <w:color w:val="000000" w:themeColor="text1"/>
                <w:sz w:val="20"/>
                <w:szCs w:val="20"/>
              </w:rPr>
              <w:t xml:space="preserve"> 202</w:t>
            </w:r>
            <w:r>
              <w:rPr>
                <w:rFonts w:asciiTheme="majorBidi" w:hAnsiTheme="majorBidi" w:cstheme="majorBidi"/>
                <w:color w:val="000000" w:themeColor="text1"/>
                <w:sz w:val="20"/>
                <w:szCs w:val="20"/>
              </w:rPr>
              <w:t>3</w:t>
            </w:r>
          </w:p>
          <w:p w:rsidR="002A52C4" w:rsidRDefault="002A52C4" w:rsidP="002A52C4">
            <w:pPr>
              <w:jc w:val="center"/>
              <w:rPr>
                <w:rFonts w:asciiTheme="majorBidi" w:hAnsiTheme="majorBidi" w:cstheme="majorBidi"/>
                <w:color w:val="000000" w:themeColor="text1"/>
                <w:sz w:val="20"/>
                <w:szCs w:val="20"/>
              </w:rPr>
            </w:pPr>
            <w:r w:rsidRPr="00C057B3">
              <w:rPr>
                <w:rFonts w:asciiTheme="majorBidi" w:hAnsiTheme="majorBidi" w:cstheme="majorBidi"/>
                <w:color w:val="000000" w:themeColor="text1"/>
                <w:sz w:val="20"/>
                <w:szCs w:val="20"/>
              </w:rPr>
              <w:t xml:space="preserve">Journal homepage: </w:t>
            </w:r>
            <w:hyperlink r:id="rId8" w:history="1">
              <w:r w:rsidRPr="00C057B3">
                <w:rPr>
                  <w:rStyle w:val="Hyperlink"/>
                  <w:rFonts w:asciiTheme="majorBidi" w:hAnsiTheme="majorBidi" w:cstheme="majorBidi"/>
                  <w:sz w:val="20"/>
                  <w:szCs w:val="20"/>
                </w:rPr>
                <w:t>https://journals.iub.edu.pk/index.php/jthsir</w:t>
              </w:r>
            </w:hyperlink>
            <w:r w:rsidRPr="00C057B3">
              <w:rPr>
                <w:rFonts w:asciiTheme="majorBidi" w:hAnsiTheme="majorBidi" w:cstheme="majorBidi"/>
                <w:color w:val="000000" w:themeColor="text1"/>
                <w:sz w:val="20"/>
                <w:szCs w:val="20"/>
              </w:rPr>
              <w:t xml:space="preserve"> </w:t>
            </w:r>
          </w:p>
          <w:p w:rsidR="002A52C4" w:rsidRPr="00C057B3" w:rsidRDefault="002A52C4" w:rsidP="002A52C4">
            <w:pPr>
              <w:jc w:val="cente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DOI: </w:t>
            </w:r>
            <w:r w:rsidR="00481FDA">
              <w:t xml:space="preserve"> </w:t>
            </w:r>
            <w:r w:rsidR="005A06EC" w:rsidRPr="005A06EC">
              <w:rPr>
                <w:rFonts w:asciiTheme="majorBidi" w:hAnsiTheme="majorBidi" w:cstheme="majorBidi"/>
                <w:color w:val="000000" w:themeColor="text1"/>
                <w:sz w:val="20"/>
                <w:szCs w:val="20"/>
              </w:rPr>
              <w:t>10.52461/jths.v3i01.2052</w:t>
            </w:r>
          </w:p>
        </w:tc>
      </w:tr>
    </w:tbl>
    <w:p w:rsidR="005B6302" w:rsidRPr="00CC7CA2" w:rsidRDefault="005B6302" w:rsidP="005B6302">
      <w:pPr>
        <w:spacing w:after="0" w:line="240" w:lineRule="auto"/>
        <w:jc w:val="center"/>
        <w:rPr>
          <w:rFonts w:ascii="Times New Roman" w:eastAsia="Times New Roman" w:hAnsi="Times New Roman" w:cs="Times New Roman"/>
          <w:sz w:val="40"/>
          <w:szCs w:val="40"/>
          <w:lang w:bidi="en-US"/>
        </w:rPr>
      </w:pPr>
      <w:r w:rsidRPr="00CC7CA2">
        <w:rPr>
          <w:rFonts w:ascii="Times New Roman" w:eastAsia="Times New Roman" w:hAnsi="Times New Roman" w:cs="Times New Roman"/>
          <w:sz w:val="40"/>
          <w:szCs w:val="40"/>
          <w:lang w:bidi="en-US"/>
        </w:rPr>
        <w:t>Assessing the Factors Affecting the Preferences of Housing in Hyderabad</w:t>
      </w:r>
    </w:p>
    <w:p w:rsidR="00CC7CA2" w:rsidRPr="00CC7CA2" w:rsidRDefault="00CC7CA2" w:rsidP="00935264">
      <w:pPr>
        <w:spacing w:after="0" w:line="240" w:lineRule="auto"/>
        <w:jc w:val="both"/>
        <w:rPr>
          <w:rFonts w:ascii="Times New Roman" w:eastAsia="Calibri" w:hAnsi="Times New Roman" w:cs="Times New Roman"/>
          <w:i/>
          <w:iCs/>
          <w:kern w:val="2"/>
          <w:sz w:val="18"/>
          <w:szCs w:val="18"/>
          <w14:ligatures w14:val="standardContextual"/>
        </w:rPr>
      </w:pPr>
      <w:r w:rsidRPr="00CC7CA2">
        <w:rPr>
          <w:rFonts w:ascii="Times New Roman" w:eastAsia="Calibri" w:hAnsi="Times New Roman" w:cs="Times New Roman"/>
          <w:b/>
          <w:bCs/>
          <w:kern w:val="2"/>
          <w:sz w:val="18"/>
          <w:szCs w:val="18"/>
          <w14:ligatures w14:val="standardContextual"/>
        </w:rPr>
        <w:t xml:space="preserve">Zeeshan </w:t>
      </w:r>
      <w:proofErr w:type="spellStart"/>
      <w:r w:rsidRPr="00105822">
        <w:rPr>
          <w:rFonts w:ascii="Times New Roman" w:eastAsia="Calibri" w:hAnsi="Times New Roman" w:cs="Times New Roman"/>
          <w:b/>
          <w:bCs/>
          <w:kern w:val="2"/>
          <w:sz w:val="18"/>
          <w:szCs w:val="18"/>
          <w14:ligatures w14:val="standardContextual"/>
        </w:rPr>
        <w:t>Pitafi</w:t>
      </w:r>
      <w:proofErr w:type="spellEnd"/>
      <w:r w:rsidR="00105822">
        <w:rPr>
          <w:rFonts w:ascii="Times New Roman" w:eastAsia="Calibri" w:hAnsi="Times New Roman" w:cs="Times New Roman"/>
          <w:b/>
          <w:bCs/>
          <w:kern w:val="2"/>
          <w:sz w:val="18"/>
          <w:szCs w:val="18"/>
          <w14:ligatures w14:val="standardContextual"/>
        </w:rPr>
        <w:t>,</w:t>
      </w:r>
      <w:r w:rsidR="00105822">
        <w:rPr>
          <w:rFonts w:ascii="Times New Roman" w:eastAsia="Calibri" w:hAnsi="Times New Roman" w:cs="Times New Roman"/>
          <w:kern w:val="2"/>
          <w:sz w:val="18"/>
          <w:szCs w:val="18"/>
          <w14:ligatures w14:val="standardContextual"/>
        </w:rPr>
        <w:t xml:space="preserve"> </w:t>
      </w:r>
      <w:r w:rsidRPr="00105822">
        <w:rPr>
          <w:rFonts w:ascii="Times New Roman" w:eastAsia="Calibri" w:hAnsi="Times New Roman" w:cs="Times New Roman"/>
          <w:i/>
          <w:iCs/>
          <w:kern w:val="2"/>
          <w:sz w:val="18"/>
          <w:szCs w:val="18"/>
          <w14:ligatures w14:val="standardContextual"/>
        </w:rPr>
        <w:t>Mehran</w:t>
      </w:r>
      <w:r w:rsidRPr="00CC7CA2">
        <w:rPr>
          <w:rFonts w:ascii="Times New Roman" w:eastAsia="Calibri" w:hAnsi="Times New Roman" w:cs="Times New Roman"/>
          <w:i/>
          <w:iCs/>
          <w:kern w:val="2"/>
          <w:sz w:val="18"/>
          <w:szCs w:val="18"/>
          <w14:ligatures w14:val="standardContextual"/>
        </w:rPr>
        <w:t xml:space="preserve"> University Institute of Science, Technology and Development (MUISTD), Mehran University of Engineering and Technology, Jamshoro, Sindh, Pakistan. </w:t>
      </w:r>
    </w:p>
    <w:p w:rsidR="00CC7CA2" w:rsidRPr="00CC7CA2" w:rsidRDefault="00CC7CA2" w:rsidP="00935264">
      <w:pPr>
        <w:spacing w:after="0" w:line="240" w:lineRule="auto"/>
        <w:jc w:val="both"/>
        <w:rPr>
          <w:rFonts w:ascii="Times New Roman" w:eastAsia="Calibri" w:hAnsi="Times New Roman" w:cs="Times New Roman"/>
          <w:kern w:val="2"/>
          <w:sz w:val="18"/>
          <w:szCs w:val="18"/>
          <w14:ligatures w14:val="standardContextual"/>
        </w:rPr>
      </w:pPr>
      <w:r w:rsidRPr="00CC7CA2">
        <w:rPr>
          <w:rFonts w:ascii="Times New Roman" w:eastAsia="Calibri" w:hAnsi="Times New Roman" w:cs="Times New Roman"/>
          <w:kern w:val="2"/>
          <w:sz w:val="18"/>
          <w:szCs w:val="18"/>
          <w14:ligatures w14:val="standardContextual"/>
        </w:rPr>
        <w:t xml:space="preserve"> </w:t>
      </w:r>
      <w:r w:rsidRPr="00CC7CA2">
        <w:rPr>
          <w:rFonts w:ascii="Times New Roman" w:eastAsia="Calibri" w:hAnsi="Times New Roman" w:cs="Times New Roman"/>
          <w:b/>
          <w:bCs/>
          <w:kern w:val="2"/>
          <w:sz w:val="18"/>
          <w:szCs w:val="18"/>
          <w14:ligatures w14:val="standardContextual"/>
        </w:rPr>
        <w:t>Shah</w:t>
      </w:r>
      <w:r w:rsidRPr="00CC7CA2">
        <w:rPr>
          <w:rFonts w:ascii="Times New Roman" w:eastAsia="Calibri" w:hAnsi="Times New Roman" w:cs="Times New Roman"/>
          <w:b/>
          <w:bCs/>
          <w:color w:val="222222"/>
          <w:kern w:val="2"/>
          <w:sz w:val="18"/>
          <w:szCs w:val="18"/>
          <w14:ligatures w14:val="standardContextual"/>
        </w:rPr>
        <w:t xml:space="preserve"> Muhammad Kamran</w:t>
      </w:r>
      <w:r w:rsidRPr="00CC7CA2">
        <w:rPr>
          <w:rFonts w:ascii="Times New Roman" w:eastAsia="Calibri" w:hAnsi="Times New Roman" w:cs="Times New Roman"/>
          <w:b/>
          <w:bCs/>
          <w:kern w:val="2"/>
          <w:sz w:val="18"/>
          <w:szCs w:val="18"/>
          <w14:ligatures w14:val="standardContextual"/>
        </w:rPr>
        <w:t xml:space="preserve">, </w:t>
      </w:r>
      <w:r w:rsidRPr="00CC7CA2">
        <w:rPr>
          <w:rFonts w:ascii="Times New Roman" w:eastAsia="Calibri" w:hAnsi="Times New Roman" w:cs="Times New Roman"/>
          <w:i/>
          <w:iCs/>
          <w:kern w:val="2"/>
          <w:sz w:val="18"/>
          <w:szCs w:val="18"/>
          <w14:ligatures w14:val="standardContextual"/>
        </w:rPr>
        <w:t>Mehran University Institute of Science, Technology and Development (MUISTD), Mehran University of Engineering and Technology, Jamshoro, Sindh, Pakistan.</w:t>
      </w:r>
      <w:r w:rsidRPr="00CC7CA2">
        <w:rPr>
          <w:rFonts w:ascii="Times New Roman" w:eastAsia="Calibri" w:hAnsi="Times New Roman" w:cs="Times New Roman"/>
          <w:kern w:val="2"/>
          <w:sz w:val="18"/>
          <w:szCs w:val="18"/>
          <w14:ligatures w14:val="standardContextual"/>
        </w:rPr>
        <w:t xml:space="preserve"> </w:t>
      </w:r>
      <w:r w:rsidRPr="00CC7CA2">
        <w:rPr>
          <w:rFonts w:ascii="Times New Roman" w:eastAsia="Calibri" w:hAnsi="Times New Roman" w:cs="Times New Roman"/>
          <w:b/>
          <w:bCs/>
          <w:kern w:val="2"/>
          <w:sz w:val="18"/>
          <w:szCs w:val="18"/>
          <w:vertAlign w:val="superscript"/>
          <w14:ligatures w14:val="standardContextual"/>
        </w:rPr>
        <w:t xml:space="preserve"> </w:t>
      </w:r>
    </w:p>
    <w:p w:rsidR="00CC7CA2" w:rsidRPr="00CC7CA2" w:rsidRDefault="00CC7CA2" w:rsidP="00935264">
      <w:pPr>
        <w:spacing w:after="0" w:line="240" w:lineRule="auto"/>
        <w:jc w:val="both"/>
        <w:rPr>
          <w:rFonts w:ascii="Times New Roman" w:eastAsia="Calibri" w:hAnsi="Times New Roman" w:cs="Times New Roman"/>
          <w:kern w:val="2"/>
          <w:sz w:val="18"/>
          <w:szCs w:val="18"/>
          <w14:ligatures w14:val="standardContextual"/>
        </w:rPr>
      </w:pPr>
      <w:r w:rsidRPr="00CC7CA2">
        <w:rPr>
          <w:rFonts w:ascii="Times New Roman" w:eastAsia="Calibri" w:hAnsi="Times New Roman" w:cs="Times New Roman"/>
          <w:b/>
          <w:bCs/>
          <w:kern w:val="2"/>
          <w:sz w:val="18"/>
          <w:szCs w:val="18"/>
          <w14:ligatures w14:val="standardContextual"/>
        </w:rPr>
        <w:t xml:space="preserve">Adnan </w:t>
      </w:r>
      <w:proofErr w:type="spellStart"/>
      <w:r w:rsidRPr="00CC7CA2">
        <w:rPr>
          <w:rFonts w:ascii="Times New Roman" w:eastAsia="Calibri" w:hAnsi="Times New Roman" w:cs="Times New Roman"/>
          <w:b/>
          <w:bCs/>
          <w:kern w:val="2"/>
          <w:sz w:val="18"/>
          <w:szCs w:val="18"/>
          <w14:ligatures w14:val="standardContextual"/>
        </w:rPr>
        <w:t>Pitafi</w:t>
      </w:r>
      <w:proofErr w:type="spellEnd"/>
      <w:r w:rsidRPr="00CC7CA2">
        <w:rPr>
          <w:rFonts w:ascii="Times New Roman" w:eastAsia="Calibri" w:hAnsi="Times New Roman" w:cs="Times New Roman"/>
          <w:b/>
          <w:bCs/>
          <w:kern w:val="2"/>
          <w:sz w:val="18"/>
          <w:szCs w:val="18"/>
          <w14:ligatures w14:val="standardContextual"/>
        </w:rPr>
        <w:t xml:space="preserve">, </w:t>
      </w:r>
      <w:r w:rsidRPr="00CC7CA2">
        <w:rPr>
          <w:rFonts w:ascii="Times New Roman" w:eastAsia="Calibri" w:hAnsi="Times New Roman" w:cs="Times New Roman"/>
          <w:i/>
          <w:iCs/>
          <w:kern w:val="2"/>
          <w:sz w:val="18"/>
          <w:szCs w:val="18"/>
          <w14:ligatures w14:val="standardContextual"/>
        </w:rPr>
        <w:t>Mehran University Institute of Science, Technology and Development (MUISTD), Mehran University of Engineering and Technology, Jamshoro, Sindh, Pakistan.</w:t>
      </w:r>
      <w:r w:rsidRPr="00CC7CA2">
        <w:rPr>
          <w:rFonts w:ascii="Times New Roman" w:eastAsia="Calibri" w:hAnsi="Times New Roman" w:cs="Times New Roman"/>
          <w:kern w:val="2"/>
          <w:sz w:val="18"/>
          <w:szCs w:val="18"/>
          <w14:ligatures w14:val="standardContextual"/>
        </w:rPr>
        <w:t xml:space="preserve"> </w:t>
      </w:r>
    </w:p>
    <w:p w:rsidR="00CC7CA2" w:rsidRPr="00CC7CA2" w:rsidRDefault="00CC7CA2" w:rsidP="00CC7CA2">
      <w:pPr>
        <w:spacing w:after="0" w:line="240" w:lineRule="auto"/>
        <w:rPr>
          <w:rFonts w:ascii="Times New Roman" w:eastAsia="Calibri" w:hAnsi="Times New Roman" w:cs="Times New Roman"/>
          <w:b/>
          <w:bCs/>
          <w:kern w:val="2"/>
          <w:sz w:val="18"/>
          <w:szCs w:val="18"/>
          <w14:ligatures w14:val="standardContextual"/>
        </w:rPr>
      </w:pPr>
      <w:r w:rsidRPr="00CC7CA2">
        <w:rPr>
          <w:rFonts w:ascii="Times New Roman" w:eastAsia="Calibri" w:hAnsi="Times New Roman" w:cs="Times New Roman"/>
          <w:b/>
          <w:bCs/>
          <w:kern w:val="2"/>
          <w:sz w:val="18"/>
          <w:szCs w:val="18"/>
          <w14:ligatures w14:val="standardContextual"/>
        </w:rPr>
        <w:t xml:space="preserve">Sheena </w:t>
      </w:r>
      <w:proofErr w:type="spellStart"/>
      <w:r w:rsidRPr="00CC7CA2">
        <w:rPr>
          <w:rFonts w:ascii="Times New Roman" w:eastAsia="Calibri" w:hAnsi="Times New Roman" w:cs="Times New Roman"/>
          <w:b/>
          <w:bCs/>
          <w:kern w:val="2"/>
          <w:sz w:val="18"/>
          <w:szCs w:val="18"/>
          <w14:ligatures w14:val="standardContextual"/>
        </w:rPr>
        <w:t>Pitafi</w:t>
      </w:r>
      <w:proofErr w:type="spellEnd"/>
      <w:r w:rsidRPr="00CC7CA2">
        <w:rPr>
          <w:rFonts w:ascii="Times New Roman" w:eastAsia="Calibri" w:hAnsi="Times New Roman" w:cs="Times New Roman"/>
          <w:b/>
          <w:bCs/>
          <w:kern w:val="2"/>
          <w:sz w:val="18"/>
          <w:szCs w:val="18"/>
          <w:vertAlign w:val="superscript"/>
          <w14:ligatures w14:val="standardContextual"/>
        </w:rPr>
        <w:t>*</w:t>
      </w:r>
      <w:r w:rsidRPr="00CC7CA2">
        <w:rPr>
          <w:rFonts w:ascii="Times New Roman" w:eastAsia="Calibri" w:hAnsi="Times New Roman" w:cs="Times New Roman"/>
          <w:b/>
          <w:bCs/>
          <w:kern w:val="2"/>
          <w:sz w:val="18"/>
          <w:szCs w:val="18"/>
          <w14:ligatures w14:val="standardContextual"/>
        </w:rPr>
        <w:t xml:space="preserve">, </w:t>
      </w:r>
      <w:r w:rsidRPr="00CC7CA2">
        <w:rPr>
          <w:rFonts w:ascii="Times New Roman" w:eastAsia="Calibri" w:hAnsi="Times New Roman" w:cs="Times New Roman"/>
          <w:i/>
          <w:iCs/>
          <w:kern w:val="2"/>
          <w:sz w:val="18"/>
          <w:szCs w:val="18"/>
          <w14:ligatures w14:val="standardContextual"/>
        </w:rPr>
        <w:t>School of management,</w:t>
      </w:r>
      <w:r w:rsidRPr="00CC7CA2">
        <w:rPr>
          <w:rFonts w:ascii="Times New Roman" w:eastAsia="Calibri" w:hAnsi="Times New Roman" w:cs="Times New Roman"/>
          <w:i/>
          <w:iCs/>
          <w:kern w:val="2"/>
          <w:sz w:val="18"/>
          <w:szCs w:val="18"/>
          <w:vertAlign w:val="superscript"/>
          <w14:ligatures w14:val="standardContextual"/>
        </w:rPr>
        <w:t xml:space="preserve"> </w:t>
      </w:r>
      <w:r w:rsidRPr="00CC7CA2">
        <w:rPr>
          <w:rFonts w:ascii="Times New Roman" w:eastAsia="Calibri" w:hAnsi="Times New Roman" w:cs="Times New Roman"/>
          <w:i/>
          <w:iCs/>
          <w:kern w:val="2"/>
          <w:sz w:val="18"/>
          <w:szCs w:val="18"/>
          <w14:ligatures w14:val="standardContextual"/>
        </w:rPr>
        <w:t>Huazhong University of Science and Technology, China</w:t>
      </w:r>
      <w:r w:rsidRPr="00CC7CA2">
        <w:rPr>
          <w:rFonts w:ascii="Times New Roman" w:eastAsia="Calibri" w:hAnsi="Times New Roman" w:cs="Times New Roman"/>
          <w:kern w:val="2"/>
          <w:sz w:val="18"/>
          <w:szCs w:val="18"/>
          <w14:ligatures w14:val="standardContextu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2835"/>
        <w:gridCol w:w="6515"/>
      </w:tblGrid>
      <w:tr w:rsidR="00691691" w:rsidTr="00935264">
        <w:trPr>
          <w:trHeight w:val="364"/>
        </w:trPr>
        <w:tc>
          <w:tcPr>
            <w:tcW w:w="2835" w:type="dxa"/>
            <w:tcBorders>
              <w:top w:val="single" w:sz="4" w:space="0" w:color="auto"/>
              <w:bottom w:val="single" w:sz="4" w:space="0" w:color="auto"/>
            </w:tcBorders>
            <w:vAlign w:val="center"/>
          </w:tcPr>
          <w:p w:rsidR="00691691" w:rsidRPr="0033749C" w:rsidRDefault="00691691" w:rsidP="00935264">
            <w:pPr>
              <w:rPr>
                <w:rFonts w:ascii="Times New Roman" w:eastAsia="Times New Roman" w:hAnsi="Times New Roman" w:cs="Times New Roman"/>
                <w:b/>
                <w:bCs/>
                <w:sz w:val="21"/>
                <w:szCs w:val="21"/>
              </w:rPr>
            </w:pPr>
            <w:r w:rsidRPr="0033749C">
              <w:rPr>
                <w:rFonts w:ascii="Times New Roman" w:eastAsia="Times New Roman" w:hAnsi="Times New Roman" w:cs="Times New Roman"/>
                <w:b/>
                <w:bCs/>
                <w:sz w:val="21"/>
                <w:szCs w:val="21"/>
              </w:rPr>
              <w:t>ARTICLE DETAILS</w:t>
            </w:r>
          </w:p>
        </w:tc>
        <w:tc>
          <w:tcPr>
            <w:tcW w:w="6515" w:type="dxa"/>
            <w:tcBorders>
              <w:top w:val="single" w:sz="4" w:space="0" w:color="auto"/>
              <w:bottom w:val="single" w:sz="4" w:space="0" w:color="auto"/>
            </w:tcBorders>
            <w:vAlign w:val="center"/>
          </w:tcPr>
          <w:p w:rsidR="00691691" w:rsidRPr="0033749C" w:rsidRDefault="00691691" w:rsidP="00935264">
            <w:pPr>
              <w:ind w:left="181"/>
              <w:rPr>
                <w:rFonts w:ascii="Times New Roman" w:eastAsia="Times New Roman" w:hAnsi="Times New Roman" w:cs="Times New Roman"/>
                <w:b/>
                <w:bCs/>
                <w:sz w:val="21"/>
                <w:szCs w:val="21"/>
              </w:rPr>
            </w:pPr>
            <w:r w:rsidRPr="0033749C">
              <w:rPr>
                <w:rFonts w:ascii="Times New Roman" w:eastAsia="Times New Roman" w:hAnsi="Times New Roman" w:cs="Times New Roman"/>
                <w:b/>
                <w:bCs/>
                <w:sz w:val="21"/>
                <w:szCs w:val="21"/>
              </w:rPr>
              <w:t>ABSTRACT</w:t>
            </w:r>
          </w:p>
        </w:tc>
      </w:tr>
      <w:tr w:rsidR="00691691" w:rsidTr="00935264">
        <w:trPr>
          <w:trHeight w:val="4762"/>
        </w:trPr>
        <w:tc>
          <w:tcPr>
            <w:tcW w:w="2835" w:type="dxa"/>
            <w:tcBorders>
              <w:top w:val="single" w:sz="4" w:space="0" w:color="auto"/>
            </w:tcBorders>
          </w:tcPr>
          <w:p w:rsidR="00691691" w:rsidRDefault="00691691" w:rsidP="00935264">
            <w:pPr>
              <w:pStyle w:val="Heading1"/>
              <w:numPr>
                <w:ilvl w:val="0"/>
                <w:numId w:val="0"/>
              </w:numPr>
              <w:spacing w:after="0"/>
              <w:ind w:firstLine="22"/>
            </w:pPr>
            <w:r>
              <w:t>History</w:t>
            </w:r>
          </w:p>
          <w:p w:rsidR="00691691" w:rsidRPr="003773E1" w:rsidRDefault="00691691" w:rsidP="00935264">
            <w:pPr>
              <w:rPr>
                <w:iCs/>
                <w:sz w:val="20"/>
                <w:szCs w:val="20"/>
              </w:rPr>
            </w:pPr>
            <w:r w:rsidRPr="003773E1">
              <w:rPr>
                <w:rFonts w:ascii="Times New Roman" w:eastAsia="Times New Roman" w:hAnsi="Times New Roman" w:cs="Times New Roman"/>
                <w:iCs/>
                <w:sz w:val="20"/>
                <w:szCs w:val="20"/>
              </w:rPr>
              <w:t>Revised format:</w:t>
            </w:r>
            <w:r>
              <w:rPr>
                <w:rFonts w:ascii="Times New Roman" w:eastAsia="Times New Roman" w:hAnsi="Times New Roman" w:cs="Times New Roman"/>
                <w:iCs/>
                <w:sz w:val="20"/>
                <w:szCs w:val="20"/>
              </w:rPr>
              <w:t xml:space="preserve">    </w:t>
            </w:r>
            <w:r w:rsidR="002A7083">
              <w:rPr>
                <w:rFonts w:ascii="Times New Roman" w:eastAsia="Times New Roman" w:hAnsi="Times New Roman" w:cs="Times New Roman"/>
                <w:iCs/>
                <w:sz w:val="20"/>
                <w:szCs w:val="20"/>
              </w:rPr>
              <w:t>June</w:t>
            </w:r>
            <w:r w:rsidRPr="003773E1">
              <w:rPr>
                <w:rFonts w:ascii="Times New Roman" w:eastAsia="Times New Roman" w:hAnsi="Times New Roman" w:cs="Times New Roman"/>
                <w:iCs/>
                <w:sz w:val="20"/>
                <w:szCs w:val="20"/>
              </w:rPr>
              <w:t xml:space="preserve"> 202</w:t>
            </w:r>
            <w:r>
              <w:rPr>
                <w:rFonts w:ascii="Times New Roman" w:eastAsia="Times New Roman" w:hAnsi="Times New Roman" w:cs="Times New Roman"/>
                <w:iCs/>
                <w:sz w:val="20"/>
                <w:szCs w:val="20"/>
              </w:rPr>
              <w:t>3</w:t>
            </w:r>
            <w:r w:rsidRPr="003773E1">
              <w:rPr>
                <w:rFonts w:ascii="Times New Roman" w:eastAsia="Times New Roman" w:hAnsi="Times New Roman" w:cs="Times New Roman"/>
                <w:iCs/>
                <w:sz w:val="20"/>
                <w:szCs w:val="20"/>
              </w:rPr>
              <w:t xml:space="preserve"> Available Online: </w:t>
            </w:r>
            <w:r w:rsidR="002A7083">
              <w:rPr>
                <w:rFonts w:ascii="Times New Roman" w:eastAsia="Times New Roman" w:hAnsi="Times New Roman" w:cs="Times New Roman"/>
                <w:iCs/>
                <w:sz w:val="20"/>
                <w:szCs w:val="20"/>
              </w:rPr>
              <w:t>July</w:t>
            </w:r>
            <w:r w:rsidRPr="003773E1">
              <w:rPr>
                <w:rFonts w:ascii="Times New Roman" w:eastAsia="Times New Roman" w:hAnsi="Times New Roman" w:cs="Times New Roman"/>
                <w:iCs/>
                <w:sz w:val="20"/>
                <w:szCs w:val="20"/>
              </w:rPr>
              <w:t xml:space="preserve"> 202</w:t>
            </w:r>
            <w:r>
              <w:rPr>
                <w:rFonts w:ascii="Times New Roman" w:eastAsia="Times New Roman" w:hAnsi="Times New Roman" w:cs="Times New Roman"/>
                <w:iCs/>
                <w:sz w:val="20"/>
                <w:szCs w:val="20"/>
              </w:rPr>
              <w:t>3</w:t>
            </w:r>
            <w:r w:rsidRPr="003773E1">
              <w:rPr>
                <w:rFonts w:ascii="Times New Roman" w:eastAsia="Times New Roman" w:hAnsi="Times New Roman" w:cs="Times New Roman"/>
                <w:iCs/>
                <w:sz w:val="20"/>
                <w:szCs w:val="20"/>
              </w:rPr>
              <w:t xml:space="preserve"> </w:t>
            </w:r>
          </w:p>
          <w:p w:rsidR="00691691" w:rsidRDefault="00691691" w:rsidP="00935264">
            <w:pPr>
              <w:jc w:val="center"/>
              <w:rPr>
                <w:rFonts w:ascii="Times New Roman" w:eastAsia="Times New Roman" w:hAnsi="Times New Roman" w:cs="Times New Roman"/>
                <w:sz w:val="21"/>
                <w:szCs w:val="21"/>
              </w:rPr>
            </w:pPr>
          </w:p>
          <w:p w:rsidR="00691691" w:rsidRPr="0033749C" w:rsidRDefault="00691691" w:rsidP="00935264">
            <w:pPr>
              <w:rPr>
                <w:rFonts w:ascii="Times New Roman" w:eastAsia="Times New Roman" w:hAnsi="Times New Roman" w:cs="Times New Roman"/>
                <w:b/>
                <w:bCs/>
                <w:sz w:val="21"/>
                <w:szCs w:val="21"/>
              </w:rPr>
            </w:pPr>
            <w:r w:rsidRPr="0033749C">
              <w:rPr>
                <w:rFonts w:ascii="Times New Roman" w:eastAsia="Times New Roman" w:hAnsi="Times New Roman" w:cs="Times New Roman"/>
                <w:b/>
                <w:bCs/>
                <w:sz w:val="21"/>
                <w:szCs w:val="21"/>
              </w:rPr>
              <w:t>Keywords</w:t>
            </w:r>
          </w:p>
          <w:p w:rsidR="00691691" w:rsidRPr="008E7BC5" w:rsidRDefault="008E7BC5" w:rsidP="00935264">
            <w:pPr>
              <w:rPr>
                <w:rFonts w:ascii="Times New Roman" w:hAnsi="Times New Roman" w:cs="Times New Roman"/>
                <w:bCs/>
                <w:i/>
                <w:iCs/>
                <w:color w:val="333333"/>
                <w:sz w:val="20"/>
                <w:szCs w:val="20"/>
                <w:shd w:val="clear" w:color="auto" w:fill="FCFCFC"/>
              </w:rPr>
            </w:pPr>
            <w:r w:rsidRPr="008E7BC5">
              <w:rPr>
                <w:rFonts w:ascii="Times New Roman" w:hAnsi="Times New Roman" w:cs="Times New Roman"/>
                <w:bCs/>
                <w:i/>
                <w:iCs/>
                <w:color w:val="333333"/>
                <w:sz w:val="20"/>
                <w:szCs w:val="20"/>
                <w:shd w:val="clear" w:color="auto" w:fill="FCFCFC"/>
              </w:rPr>
              <w:t>Housing preferences; environmental factors; phys</w:t>
            </w:r>
            <w:r>
              <w:rPr>
                <w:rFonts w:ascii="Times New Roman" w:hAnsi="Times New Roman" w:cs="Times New Roman"/>
                <w:bCs/>
                <w:i/>
                <w:iCs/>
                <w:color w:val="333333"/>
                <w:sz w:val="20"/>
                <w:szCs w:val="20"/>
                <w:shd w:val="clear" w:color="auto" w:fill="FCFCFC"/>
              </w:rPr>
              <w:t>ical factors; distance factors</w:t>
            </w:r>
          </w:p>
          <w:p w:rsidR="00691691" w:rsidRPr="0033749C" w:rsidRDefault="00691691" w:rsidP="00935264">
            <w:pPr>
              <w:rPr>
                <w:rFonts w:ascii="Times New Roman" w:eastAsia="Times New Roman" w:hAnsi="Times New Roman" w:cs="Times New Roman"/>
                <w:i/>
                <w:iCs/>
                <w:sz w:val="21"/>
                <w:szCs w:val="21"/>
              </w:rPr>
            </w:pPr>
          </w:p>
        </w:tc>
        <w:tc>
          <w:tcPr>
            <w:tcW w:w="6515" w:type="dxa"/>
            <w:tcBorders>
              <w:top w:val="single" w:sz="4" w:space="0" w:color="auto"/>
            </w:tcBorders>
          </w:tcPr>
          <w:p w:rsidR="00691691" w:rsidRPr="0033749C" w:rsidRDefault="00DE5BBE" w:rsidP="008E7BC5">
            <w:pPr>
              <w:spacing w:before="100" w:beforeAutospacing="1"/>
              <w:jc w:val="both"/>
              <w:rPr>
                <w:rFonts w:ascii="Times New Roman" w:hAnsi="Times New Roman" w:cs="Times New Roman"/>
                <w:sz w:val="24"/>
                <w:szCs w:val="24"/>
              </w:rPr>
            </w:pPr>
            <w:r w:rsidRPr="00DE5BBE">
              <w:rPr>
                <w:rFonts w:ascii="Times New Roman" w:hAnsi="Times New Roman" w:cs="Times New Roman"/>
                <w:bCs/>
                <w:sz w:val="24"/>
                <w:szCs w:val="24"/>
              </w:rPr>
              <w:t>Gated communities are quickly expanding and making a substantial contribution to spatial change. This, in turn, has a significant impact on local urban growth and integration into society. It is clear that more of this style of housing is being created around the country, and these structures appear to be becoming a major element of Pakistani home construction projects. The purpose of this study is to investigate the several factors of housing preferences by residence of Hyderabad Sindh Pakistan. Using primary data collected from residence of Hyderabad, this study propose a research model. In total 321 samples were used for data analysis using AMOS and SPSS software, a structural equation modeling (SEM) approach was used to analyze the proposed model. Findings indicates that environmental factor,</w:t>
            </w:r>
            <w:r w:rsidRPr="00DE5BBE">
              <w:rPr>
                <w:rFonts w:ascii="Times New Roman" w:hAnsi="Times New Roman" w:cs="Times New Roman"/>
                <w:sz w:val="24"/>
                <w:szCs w:val="24"/>
              </w:rPr>
              <w:t xml:space="preserve"> property physical</w:t>
            </w:r>
            <w:r w:rsidR="008E7BC5">
              <w:rPr>
                <w:rFonts w:ascii="Times New Roman" w:hAnsi="Times New Roman" w:cs="Times New Roman"/>
                <w:sz w:val="24"/>
                <w:szCs w:val="24"/>
              </w:rPr>
              <w:t xml:space="preserve"> factors, distance factors, facili</w:t>
            </w:r>
            <w:r w:rsidRPr="00DE5BBE">
              <w:rPr>
                <w:rFonts w:ascii="Times New Roman" w:hAnsi="Times New Roman" w:cs="Times New Roman"/>
                <w:sz w:val="24"/>
                <w:szCs w:val="24"/>
              </w:rPr>
              <w:t xml:space="preserve">ties are significantly related to housing preference. Additionally, results also indicates that financial factor also significantly related to housing preference. In last, this study also discussed the implication, and limitation of the study. </w:t>
            </w:r>
          </w:p>
        </w:tc>
      </w:tr>
      <w:tr w:rsidR="00691691" w:rsidTr="00935264">
        <w:trPr>
          <w:trHeight w:val="349"/>
        </w:trPr>
        <w:tc>
          <w:tcPr>
            <w:tcW w:w="2835" w:type="dxa"/>
            <w:tcBorders>
              <w:bottom w:val="single" w:sz="4" w:space="0" w:color="auto"/>
            </w:tcBorders>
          </w:tcPr>
          <w:p w:rsidR="00691691" w:rsidRDefault="00A93AAA" w:rsidP="00935264">
            <w:pPr>
              <w:ind w:left="-5"/>
            </w:pPr>
            <w:r>
              <w:rPr>
                <w:noProof/>
              </w:rPr>
              <w:drawing>
                <wp:anchor distT="0" distB="0" distL="114300" distR="114300" simplePos="0" relativeHeight="251659264" behindDoc="0" locked="0" layoutInCell="1" allowOverlap="1" wp14:anchorId="2EB43F75" wp14:editId="791B84A7">
                  <wp:simplePos x="0" y="0"/>
                  <wp:positionH relativeFrom="column">
                    <wp:posOffset>264473</wp:posOffset>
                  </wp:positionH>
                  <wp:positionV relativeFrom="paragraph">
                    <wp:posOffset>-105905</wp:posOffset>
                  </wp:positionV>
                  <wp:extent cx="1087120" cy="419100"/>
                  <wp:effectExtent l="0" t="0" r="0" b="0"/>
                  <wp:wrapNone/>
                  <wp:docPr id="461" name="Pictu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9"/>
                          <a:stretch>
                            <a:fillRect/>
                          </a:stretch>
                        </pic:blipFill>
                        <pic:spPr>
                          <a:xfrm>
                            <a:off x="0" y="0"/>
                            <a:ext cx="1087120" cy="419100"/>
                          </a:xfrm>
                          <a:prstGeom prst="rect">
                            <a:avLst/>
                          </a:prstGeom>
                        </pic:spPr>
                      </pic:pic>
                    </a:graphicData>
                  </a:graphic>
                  <wp14:sizeRelH relativeFrom="margin">
                    <wp14:pctWidth>0</wp14:pctWidth>
                  </wp14:sizeRelH>
                  <wp14:sizeRelV relativeFrom="margin">
                    <wp14:pctHeight>0</wp14:pctHeight>
                  </wp14:sizeRelV>
                </wp:anchor>
              </w:drawing>
            </w:r>
          </w:p>
        </w:tc>
        <w:tc>
          <w:tcPr>
            <w:tcW w:w="6515" w:type="dxa"/>
            <w:tcBorders>
              <w:bottom w:val="single" w:sz="4" w:space="0" w:color="auto"/>
            </w:tcBorders>
            <w:vAlign w:val="bottom"/>
          </w:tcPr>
          <w:p w:rsidR="00691691" w:rsidRPr="00212DAF" w:rsidRDefault="00691691" w:rsidP="00935264">
            <w:pPr>
              <w:spacing w:before="100" w:beforeAutospacing="1"/>
              <w:jc w:val="both"/>
              <w:rPr>
                <w:rFonts w:ascii="Times New Roman" w:hAnsi="Times New Roman" w:cs="Times New Roman"/>
                <w:sz w:val="24"/>
                <w:szCs w:val="24"/>
              </w:rPr>
            </w:pPr>
            <w:r w:rsidRPr="00212DAF">
              <w:rPr>
                <w:rFonts w:ascii="Times New Roman" w:hAnsi="Times New Roman" w:cs="Times New Roman"/>
                <w:sz w:val="24"/>
                <w:szCs w:val="24"/>
              </w:rPr>
              <w:t>© 20</w:t>
            </w:r>
            <w:r>
              <w:rPr>
                <w:rFonts w:ascii="Times New Roman" w:hAnsi="Times New Roman" w:cs="Times New Roman"/>
                <w:sz w:val="24"/>
                <w:szCs w:val="24"/>
              </w:rPr>
              <w:t>23</w:t>
            </w:r>
            <w:r w:rsidRPr="00212DAF">
              <w:rPr>
                <w:rFonts w:ascii="Times New Roman" w:hAnsi="Times New Roman" w:cs="Times New Roman"/>
                <w:sz w:val="24"/>
                <w:szCs w:val="24"/>
              </w:rPr>
              <w:t xml:space="preserve"> The authors, under a Creative Commons Attribution Non-Commercial 4.0</w:t>
            </w:r>
          </w:p>
        </w:tc>
      </w:tr>
      <w:tr w:rsidR="00691691" w:rsidTr="00935264">
        <w:trPr>
          <w:trHeight w:val="349"/>
        </w:trPr>
        <w:tc>
          <w:tcPr>
            <w:tcW w:w="9350" w:type="dxa"/>
            <w:gridSpan w:val="2"/>
            <w:tcBorders>
              <w:top w:val="single" w:sz="4" w:space="0" w:color="auto"/>
              <w:bottom w:val="single" w:sz="4" w:space="0" w:color="auto"/>
            </w:tcBorders>
          </w:tcPr>
          <w:p w:rsidR="00865825" w:rsidRPr="00894046" w:rsidRDefault="00691691" w:rsidP="00865825">
            <w:pPr>
              <w:rPr>
                <w:rFonts w:asciiTheme="majorBidi" w:hAnsiTheme="majorBidi" w:cstheme="majorBidi"/>
                <w:bCs/>
                <w:sz w:val="20"/>
                <w:szCs w:val="20"/>
              </w:rPr>
            </w:pPr>
            <w:r w:rsidRPr="00894046">
              <w:rPr>
                <w:rFonts w:asciiTheme="majorBidi" w:hAnsiTheme="majorBidi" w:cstheme="majorBidi"/>
                <w:sz w:val="20"/>
                <w:szCs w:val="20"/>
              </w:rPr>
              <w:t xml:space="preserve">*Corresponding author: </w:t>
            </w:r>
            <w:hyperlink r:id="rId10" w:history="1">
              <w:r w:rsidR="00CC7CA2" w:rsidRPr="00905039">
                <w:rPr>
                  <w:rFonts w:ascii="Times New Roman" w:eastAsia="Calibri" w:hAnsi="Times New Roman" w:cs="Times New Roman"/>
                  <w:color w:val="0563C1"/>
                  <w:kern w:val="2"/>
                  <w:sz w:val="24"/>
                  <w:szCs w:val="24"/>
                  <w:u w:val="single"/>
                  <w14:ligatures w14:val="standardContextual"/>
                </w:rPr>
                <w:t>sheenapitafi@gmail.com</w:t>
              </w:r>
            </w:hyperlink>
          </w:p>
        </w:tc>
      </w:tr>
    </w:tbl>
    <w:p w:rsidR="00DE5BBE" w:rsidRDefault="00691691" w:rsidP="00DE5BBE">
      <w:pPr>
        <w:spacing w:before="100" w:beforeAutospacing="1" w:after="0" w:line="240" w:lineRule="auto"/>
        <w:jc w:val="both"/>
        <w:rPr>
          <w:rFonts w:ascii="Times New Roman" w:hAnsi="Times New Roman" w:cs="Times New Roman"/>
          <w:b/>
          <w:color w:val="333333"/>
          <w:sz w:val="28"/>
          <w:szCs w:val="28"/>
          <w:shd w:val="clear" w:color="auto" w:fill="FCFCFC"/>
        </w:rPr>
      </w:pPr>
      <w:bookmarkStart w:id="0" w:name="_Hlk29578601"/>
      <w:r w:rsidRPr="00211282">
        <w:rPr>
          <w:rFonts w:ascii="Times New Roman" w:hAnsi="Times New Roman" w:cs="Times New Roman"/>
          <w:b/>
          <w:color w:val="333333"/>
          <w:sz w:val="28"/>
          <w:szCs w:val="28"/>
          <w:shd w:val="clear" w:color="auto" w:fill="FCFCFC"/>
        </w:rPr>
        <w:t xml:space="preserve">Introduction </w:t>
      </w:r>
      <w:bookmarkEnd w:id="0"/>
    </w:p>
    <w:p w:rsidR="00DE5BBE" w:rsidRDefault="00DE5BBE" w:rsidP="00DE5BBE">
      <w:pPr>
        <w:spacing w:line="240" w:lineRule="auto"/>
        <w:jc w:val="both"/>
        <w:rPr>
          <w:rFonts w:ascii="Times New Roman" w:hAnsi="Times New Roman" w:cs="Times New Roman"/>
          <w:sz w:val="24"/>
          <w:szCs w:val="24"/>
        </w:rPr>
      </w:pPr>
      <w:r w:rsidRPr="007F2639">
        <w:rPr>
          <w:rFonts w:ascii="Times New Roman" w:hAnsi="Times New Roman" w:cs="Times New Roman"/>
          <w:bCs/>
          <w:color w:val="000000" w:themeColor="text1"/>
          <w:kern w:val="24"/>
          <w:sz w:val="24"/>
          <w:szCs w:val="24"/>
        </w:rPr>
        <w:t xml:space="preserve">Gated communities are quickly expanding and making a substantial contribution to spatial change. This, in turn, has a significant impact on local urban growth and integration into society. It is clear that more of this style of housing is being created around the country, and these structures appear </w:t>
      </w:r>
      <w:r w:rsidRPr="007F2639">
        <w:rPr>
          <w:rFonts w:ascii="Times New Roman" w:hAnsi="Times New Roman" w:cs="Times New Roman"/>
          <w:bCs/>
          <w:color w:val="000000" w:themeColor="text1"/>
          <w:kern w:val="24"/>
          <w:sz w:val="24"/>
          <w:szCs w:val="24"/>
        </w:rPr>
        <w:lastRenderedPageBreak/>
        <w:t>to be becoming a major element of Pakistani home construction projects. The purpose of this study is to investigate the several factors of housing preferences by residence of Hyderabad Sindh Pakistan. Using primary data collected from residence of Hyderabad, this study propose a research model. In total 321 samples were used for data analys</w:t>
      </w:r>
      <w:r>
        <w:rPr>
          <w:rFonts w:ascii="Times New Roman" w:hAnsi="Times New Roman" w:cs="Times New Roman"/>
          <w:bCs/>
          <w:color w:val="000000" w:themeColor="text1"/>
          <w:kern w:val="24"/>
          <w:sz w:val="24"/>
          <w:szCs w:val="24"/>
        </w:rPr>
        <w:t>is using AMOS and SPSS software, a structural equation modeling (SEM) approach was used to analyze the proposed model.</w:t>
      </w:r>
      <w:r w:rsidRPr="007F2639">
        <w:rPr>
          <w:rFonts w:ascii="Times New Roman" w:hAnsi="Times New Roman" w:cs="Times New Roman"/>
          <w:bCs/>
          <w:color w:val="000000" w:themeColor="text1"/>
          <w:kern w:val="24"/>
          <w:sz w:val="24"/>
          <w:szCs w:val="24"/>
        </w:rPr>
        <w:t xml:space="preserve"> Findings indicates that </w:t>
      </w:r>
      <w:r>
        <w:rPr>
          <w:rFonts w:ascii="Times New Roman" w:hAnsi="Times New Roman" w:cs="Times New Roman"/>
          <w:bCs/>
          <w:color w:val="000000" w:themeColor="text1"/>
          <w:kern w:val="24"/>
          <w:sz w:val="24"/>
          <w:szCs w:val="24"/>
        </w:rPr>
        <w:t>e</w:t>
      </w:r>
      <w:r w:rsidRPr="007F2639">
        <w:rPr>
          <w:rFonts w:ascii="Times New Roman" w:hAnsi="Times New Roman" w:cs="Times New Roman"/>
          <w:bCs/>
          <w:color w:val="000000" w:themeColor="text1"/>
          <w:kern w:val="24"/>
          <w:sz w:val="24"/>
          <w:szCs w:val="24"/>
        </w:rPr>
        <w:t>nvironmental</w:t>
      </w:r>
      <w:r>
        <w:rPr>
          <w:rFonts w:ascii="Times New Roman" w:hAnsi="Times New Roman" w:cs="Times New Roman"/>
          <w:bCs/>
          <w:color w:val="000000" w:themeColor="text1"/>
          <w:kern w:val="24"/>
          <w:sz w:val="24"/>
          <w:szCs w:val="24"/>
        </w:rPr>
        <w:t xml:space="preserve"> factor</w:t>
      </w:r>
      <w:r w:rsidRPr="007F2639">
        <w:rPr>
          <w:rFonts w:ascii="Times New Roman" w:hAnsi="Times New Roman" w:cs="Times New Roman"/>
          <w:bCs/>
          <w:color w:val="000000" w:themeColor="text1"/>
          <w:kern w:val="24"/>
          <w:sz w:val="24"/>
          <w:szCs w:val="24"/>
        </w:rPr>
        <w:t>,</w:t>
      </w:r>
      <w:r>
        <w:rPr>
          <w:rFonts w:ascii="Times New Roman" w:hAnsi="Times New Roman" w:cs="Times New Roman"/>
          <w:sz w:val="24"/>
          <w:szCs w:val="24"/>
        </w:rPr>
        <w:t xml:space="preserve"> property physical factors, distance factors, f</w:t>
      </w:r>
      <w:r w:rsidRPr="007F2639">
        <w:rPr>
          <w:rFonts w:ascii="Times New Roman" w:hAnsi="Times New Roman" w:cs="Times New Roman"/>
          <w:sz w:val="24"/>
          <w:szCs w:val="24"/>
        </w:rPr>
        <w:t>aculties are significantly related to housing preference.</w:t>
      </w:r>
      <w:r>
        <w:rPr>
          <w:rFonts w:ascii="Times New Roman" w:hAnsi="Times New Roman" w:cs="Times New Roman"/>
          <w:sz w:val="24"/>
          <w:szCs w:val="24"/>
        </w:rPr>
        <w:t xml:space="preserve"> Additionally, results also indicates that financial factor also significantly related to housing preference. In last, this study also discussed the implication, and limitation of the study.</w:t>
      </w:r>
      <w:r w:rsidR="00935264">
        <w:rPr>
          <w:rFonts w:ascii="Times New Roman" w:hAnsi="Times New Roman" w:cs="Times New Roman"/>
          <w:sz w:val="24"/>
          <w:szCs w:val="24"/>
        </w:rPr>
        <w:t xml:space="preserve"> </w:t>
      </w:r>
    </w:p>
    <w:p w:rsidR="00DE5BBE" w:rsidRDefault="00DE5BBE" w:rsidP="00DE5BBE">
      <w:pPr>
        <w:pStyle w:val="NormalWeb"/>
        <w:spacing w:before="200" w:beforeAutospacing="0" w:after="0" w:afterAutospacing="0" w:line="360" w:lineRule="auto"/>
        <w:jc w:val="center"/>
        <w:rPr>
          <w:rFonts w:eastAsiaTheme="minorEastAsia"/>
          <w:color w:val="000000" w:themeColor="text1"/>
          <w:kern w:val="24"/>
        </w:rPr>
      </w:pPr>
      <w:r>
        <w:rPr>
          <w:rFonts w:eastAsiaTheme="minorEastAsia"/>
          <w:noProof/>
          <w:color w:val="000000" w:themeColor="text1"/>
          <w:kern w:val="24"/>
        </w:rPr>
        <w:drawing>
          <wp:inline distT="0" distB="0" distL="0" distR="0" wp14:anchorId="4979786E" wp14:editId="540DDEF7">
            <wp:extent cx="3775024" cy="234274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9069" cy="2345259"/>
                    </a:xfrm>
                    <a:prstGeom prst="rect">
                      <a:avLst/>
                    </a:prstGeom>
                    <a:noFill/>
                  </pic:spPr>
                </pic:pic>
              </a:graphicData>
            </a:graphic>
          </wp:inline>
        </w:drawing>
      </w:r>
    </w:p>
    <w:p w:rsidR="00DE5BBE" w:rsidRDefault="00DE5BBE" w:rsidP="00DE5BBE">
      <w:pPr>
        <w:pStyle w:val="NormalWeb"/>
        <w:spacing w:before="200" w:beforeAutospacing="0" w:after="0" w:afterAutospacing="0" w:line="216" w:lineRule="auto"/>
        <w:jc w:val="both"/>
        <w:rPr>
          <w:rFonts w:eastAsiaTheme="minorEastAsia"/>
          <w:color w:val="000000" w:themeColor="text1"/>
          <w:kern w:val="24"/>
        </w:rPr>
      </w:pPr>
    </w:p>
    <w:p w:rsidR="00DE5BBE" w:rsidRPr="0080727C" w:rsidRDefault="00DE5BBE" w:rsidP="00DE5BBE">
      <w:pPr>
        <w:jc w:val="center"/>
        <w:rPr>
          <w:rFonts w:ascii="Times New Roman" w:hAnsi="Times New Roman" w:cs="Times New Roman"/>
          <w:b/>
        </w:rPr>
      </w:pPr>
      <w:r w:rsidRPr="0080727C">
        <w:rPr>
          <w:rFonts w:ascii="Times New Roman" w:hAnsi="Times New Roman" w:cs="Times New Roman"/>
          <w:b/>
        </w:rPr>
        <w:t>Figure 1: Proposed research mode</w:t>
      </w:r>
      <w:r w:rsidR="008E7BC5">
        <w:rPr>
          <w:rFonts w:ascii="Times New Roman" w:hAnsi="Times New Roman" w:cs="Times New Roman"/>
          <w:b/>
        </w:rPr>
        <w:t>l</w:t>
      </w:r>
    </w:p>
    <w:p w:rsidR="00DE5BBE" w:rsidRPr="00DE5BBE" w:rsidRDefault="00DE5BBE" w:rsidP="00DE5BBE">
      <w:pPr>
        <w:spacing w:before="100" w:beforeAutospacing="1" w:after="0" w:line="240" w:lineRule="auto"/>
        <w:jc w:val="both"/>
        <w:rPr>
          <w:rFonts w:ascii="Times New Roman" w:hAnsi="Times New Roman" w:cs="Times New Roman"/>
          <w:b/>
          <w:color w:val="333333"/>
          <w:sz w:val="28"/>
          <w:szCs w:val="28"/>
          <w:shd w:val="clear" w:color="auto" w:fill="FCFCFC"/>
        </w:rPr>
      </w:pPr>
      <w:r w:rsidRPr="00211282">
        <w:rPr>
          <w:rFonts w:ascii="Times New Roman" w:hAnsi="Times New Roman" w:cs="Times New Roman"/>
          <w:b/>
          <w:color w:val="333333"/>
          <w:sz w:val="28"/>
          <w:szCs w:val="28"/>
          <w:shd w:val="clear" w:color="auto" w:fill="FCFCFC"/>
        </w:rPr>
        <w:t xml:space="preserve">Literature Review </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Environmental Factors</w:t>
      </w:r>
    </w:p>
    <w:p w:rsidR="00DE5BBE" w:rsidRPr="00DE5BBE" w:rsidRDefault="00DE5BBE" w:rsidP="00DE5BBE">
      <w:pPr>
        <w:spacing w:line="240" w:lineRule="auto"/>
        <w:jc w:val="both"/>
        <w:rPr>
          <w:rFonts w:ascii="Times New Roman" w:hAnsi="Times New Roman" w:cs="Times New Roman"/>
          <w:bCs/>
          <w:sz w:val="24"/>
          <w:szCs w:val="24"/>
        </w:rPr>
      </w:pPr>
      <w:r w:rsidRPr="00DE5BBE">
        <w:rPr>
          <w:rFonts w:ascii="Times New Roman" w:hAnsi="Times New Roman" w:cs="Times New Roman"/>
          <w:bCs/>
          <w:sz w:val="24"/>
          <w:szCs w:val="24"/>
        </w:rPr>
        <w:t xml:space="preserve">According to previous literature that it is challenging to predict the demand for houses, buildings and land slots in general because of how different each one is depending on where it is </w:t>
      </w:r>
      <w:r w:rsidRPr="00DE5BBE">
        <w:rPr>
          <w:rFonts w:ascii="Times New Roman" w:hAnsi="Times New Roman" w:cs="Times New Roman"/>
          <w:bCs/>
          <w:sz w:val="24"/>
          <w:szCs w:val="24"/>
        </w:rPr>
        <w:fldChar w:fldCharType="begin">
          <w:fldData xml:space="preserve">PEVuZE5vdGU+PENpdGU+PEF1dGhvcj5KYWJhcmVlbjwvQXV0aG9yPjxZZWFyPjIwMDU8L1llYXI+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</w:fldData>
        </w:fldChar>
      </w:r>
      <w:r w:rsidRPr="00DE5BBE">
        <w:rPr>
          <w:rFonts w:ascii="Times New Roman" w:hAnsi="Times New Roman" w:cs="Times New Roman"/>
          <w:bCs/>
          <w:sz w:val="24"/>
          <w:szCs w:val="24"/>
        </w:rPr>
        <w:instrText xml:space="preserve"> ADDIN EN.CITE </w:instrText>
      </w:r>
      <w:r w:rsidRPr="00DE5BBE">
        <w:rPr>
          <w:rFonts w:ascii="Times New Roman" w:hAnsi="Times New Roman" w:cs="Times New Roman"/>
          <w:bCs/>
          <w:sz w:val="24"/>
          <w:szCs w:val="24"/>
        </w:rPr>
        <w:fldChar w:fldCharType="begin">
          <w:fldData xml:space="preserve">PEVuZE5vdGU+PENpdGU+PEF1dGhvcj5KYWJhcmVlbjwvQXV0aG9yPjxZZWFyPjIwMDU8L1llYXI+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</w:fldData>
        </w:fldChar>
      </w:r>
      <w:r w:rsidRPr="00DE5BBE">
        <w:rPr>
          <w:rFonts w:ascii="Times New Roman" w:hAnsi="Times New Roman" w:cs="Times New Roman"/>
          <w:bCs/>
          <w:sz w:val="24"/>
          <w:szCs w:val="24"/>
        </w:rPr>
        <w:instrText xml:space="preserve"> ADDIN EN.CITE.DATA </w:instrText>
      </w:r>
      <w:r w:rsidRPr="00DE5BBE">
        <w:rPr>
          <w:rFonts w:ascii="Times New Roman" w:hAnsi="Times New Roman" w:cs="Times New Roman"/>
          <w:sz w:val="24"/>
          <w:szCs w:val="24"/>
        </w:rPr>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(Banner, White Berheide, &amp; Ross Greckel, 1982; Jabareen, 2005; Wu, 2010)</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Most studies consider environmental factors to be proxies for the value of the housing market because it is practically nearly impossible to obtain actual housing market values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&lt;EndNote&gt;&lt;Cite&gt;&lt;Author&gt;Banner&lt;/Author&gt;&lt;Year&gt;1982&lt;/Year&gt;&lt;RecNum&gt;5134&lt;/RecNum&gt;&lt;DisplayText&gt;(Asma, Daud, &amp;amp; Junuidin, 2022; Banner et al., 1982)&lt;/DisplayText&gt;&lt;record&gt;&lt;rec-number&gt;5134&lt;/rec-number&gt;&lt;foreign-keys&gt;&lt;key app="EN" db-id="900edwzvlz5zfoeradsxtdxf2swapvrr2ddd" timestamp="1691081602"&gt;5134&lt;/key&gt;&lt;/foreign-keys&gt;&lt;ref-type name="Journal Article"&gt;17&lt;/ref-type&gt;&lt;contributors&gt;&lt;authors&gt;&lt;author&gt;Banner, Mae G&lt;/author&gt;&lt;author&gt;White Berheide, Catherine&lt;/author&gt;&lt;author&gt;Ross Greckel, Fay&lt;/author&gt;&lt;/authors&gt;&lt;/contributors&gt;&lt;titles&gt;&lt;title&gt;Housing preferences in Louisville: A feminist critique of the suburban environment&lt;/title&gt;&lt;secondary-title&gt;Housing and Society&lt;/secondary-title&gt;&lt;/titles&gt;&lt;periodical&gt;&lt;full-title&gt;Housing and Society&lt;/full-title&gt;&lt;/periodical&gt;&lt;pages&gt;95-110&lt;/pages&gt;&lt;volume&gt;9&lt;/volume&gt;&lt;number&gt;2&lt;/number&gt;&lt;dates&gt;&lt;year&gt;1982&lt;/year&gt;&lt;/dates&gt;&lt;isbn&gt;0888-2746&lt;/isbn&gt;&lt;urls&gt;&lt;/urls&gt;&lt;/record&gt;&lt;/Cite&gt;&lt;Cite&gt;&lt;Author&gt;Asma&lt;/Author&gt;&lt;Year&gt;2022&lt;/Year&gt;&lt;RecNum&gt;5135&lt;/RecNum&gt;&lt;record&gt;&lt;rec-number&gt;5135&lt;/rec-number&gt;&lt;foreign-keys&gt;&lt;key app="EN" db-id="900edwzvlz5zfoeradsxtdxf2swapvrr2ddd" timestamp="1691082143"&gt;5135&lt;/key&gt;&lt;/foreign-keys&gt;&lt;ref-type name="Journal Article"&gt;17&lt;/ref-type&gt;&lt;contributors&gt;&lt;authors&gt;&lt;author&gt;Asma, WHHWN&lt;/author&gt;&lt;author&gt;Daud, Nur Hardy Abu&lt;/author&gt;&lt;author&gt;Junuidin, Nurarina Aslah&lt;/author&gt;&lt;/authors&gt;&lt;/contributors&gt;&lt;titles&gt;&lt;title&gt;Comparison between preference of swiftlet housing design and characteristics by ranchers in Sabah and Sarawak&lt;/title&gt;&lt;secondary-title&gt;Journal of Tourism, Hospitality and Environment Management&lt;/secondary-title&gt;&lt;/titles&gt;&lt;periodical&gt;&lt;full-title&gt;Journal of Tourism, Hospitality and Environment Management&lt;/full-title&gt;&lt;/periodical&gt;&lt;pages&gt;15-29&lt;/pages&gt;&lt;volume&gt;7&lt;/volume&gt;&lt;dates&gt;&lt;year&gt;2022&lt;/year&gt;&lt;/dates&gt;&lt;urls&gt;&lt;/urls&gt;&lt;/record&gt;&lt;/Cite&gt;&lt;/EndNote&gt;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(Asma, Daud, &amp; Junuidin, 2022; Banner et al., 1982)</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The environment factor is a key factor in purchasing a home.  Environmental characteristics, which are quality and design features of the product, respectively refer to the services provided immediately following the sale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&lt;EndNote&gt;&lt;Cite&gt;&lt;Author&gt;Mouratidis&lt;/Author&gt;&lt;Year&gt;2021&lt;/Year&gt;&lt;RecNum&gt;5136&lt;/RecNum&gt;&lt;DisplayText&gt;(Mouratidis, 2021)&lt;/DisplayText&gt;&lt;record&gt;&lt;rec-number&gt;5136&lt;/rec-number&gt;&lt;foreign-keys&gt;&lt;key app="EN" db-id="900edwzvlz5zfoeradsxtdxf2swapvrr2ddd" timestamp="1691082275"&gt;5136&lt;/key&gt;&lt;/foreign-keys&gt;&lt;ref-type name="Journal Article"&gt;17&lt;/ref-type&gt;&lt;contributors&gt;&lt;authors&gt;&lt;author&gt;Mouratidis, Kostas&lt;/author&gt;&lt;/authors&gt;&lt;/contributors&gt;&lt;titles&gt;&lt;title&gt;Urban planning and quality of life: A review of pathways linking the built environment to subjective well-being&lt;/title&gt;&lt;secondary-title&gt;Cities&lt;/secondary-title&gt;&lt;/titles&gt;&lt;periodical&gt;&lt;full-title&gt;Cities&lt;/full-title&gt;&lt;/periodical&gt;&lt;pages&gt;103229&lt;/pages&gt;&lt;volume&gt;115&lt;/volume&gt;&lt;dates&gt;&lt;year&gt;2021&lt;/year&gt;&lt;/dates&gt;&lt;isbn&gt;0264-2751&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(Mouratidis, 2021)</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Specifically, housing marketers can change these factors to adjust the degree of their adoption because they are largely within their control. Most of the catchphrases used for such purposes emphasize environmental qualities, using words like greenery, greener, garden, healthy, clean, fresh air, free of pollution, </w:t>
      </w:r>
      <w:r w:rsidRPr="00DE5BBE">
        <w:rPr>
          <w:rFonts w:ascii="Times New Roman" w:hAnsi="Times New Roman" w:cs="Times New Roman"/>
          <w:bCs/>
          <w:sz w:val="24"/>
          <w:szCs w:val="24"/>
        </w:rPr>
        <w:lastRenderedPageBreak/>
        <w:t xml:space="preserve">congestion, noise and calm </w:t>
      </w:r>
      <w:r w:rsidRPr="00DE5BBE">
        <w:rPr>
          <w:rFonts w:ascii="Times New Roman" w:hAnsi="Times New Roman" w:cs="Times New Roman"/>
          <w:bCs/>
          <w:sz w:val="24"/>
          <w:szCs w:val="24"/>
        </w:rPr>
        <w:fldChar w:fldCharType="begin">
          <w:fldData xml:space="preserve">PEVuZE5vdGU+PENpdGU+PEF1dGhvcj5Nb3VyYXRpZGlzPC9BdXRob3I+PFllYXI+MjAyMTwvWWVh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</w:fldData>
        </w:fldChar>
      </w:r>
      <w:r w:rsidRPr="00DE5BBE">
        <w:rPr>
          <w:rFonts w:ascii="Times New Roman" w:hAnsi="Times New Roman" w:cs="Times New Roman"/>
          <w:bCs/>
          <w:sz w:val="24"/>
          <w:szCs w:val="24"/>
        </w:rPr>
        <w:instrText xml:space="preserve"> ADDIN EN.CITE </w:instrText>
      </w:r>
      <w:r w:rsidRPr="00DE5BBE">
        <w:rPr>
          <w:rFonts w:ascii="Times New Roman" w:hAnsi="Times New Roman" w:cs="Times New Roman"/>
          <w:bCs/>
          <w:sz w:val="24"/>
          <w:szCs w:val="24"/>
        </w:rPr>
        <w:fldChar w:fldCharType="begin">
          <w:fldData xml:space="preserve">PEVuZE5vdGU+PENpdGU+PEF1dGhvcj5Nb3VyYXRpZGlzPC9BdXRob3I+PFllYXI+MjAyMTwvWWVh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</w:fldData>
        </w:fldChar>
      </w:r>
      <w:r w:rsidRPr="00DE5BBE">
        <w:rPr>
          <w:rFonts w:ascii="Times New Roman" w:hAnsi="Times New Roman" w:cs="Times New Roman"/>
          <w:bCs/>
          <w:sz w:val="24"/>
          <w:szCs w:val="24"/>
        </w:rPr>
        <w:instrText xml:space="preserve"> ADDIN EN.CITE.DATA </w:instrText>
      </w:r>
      <w:r w:rsidRPr="00DE5BBE">
        <w:rPr>
          <w:rFonts w:ascii="Times New Roman" w:hAnsi="Times New Roman" w:cs="Times New Roman"/>
          <w:sz w:val="24"/>
          <w:szCs w:val="24"/>
        </w:rPr>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(Kanwal, Rasheed, et al., 2020; Mouratidis, 2021; Weidinger &amp; Kordel, 2023)</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w:t>
      </w:r>
    </w:p>
    <w:p w:rsidR="00DE5BBE" w:rsidRPr="00DE5BBE" w:rsidRDefault="00DE5BBE" w:rsidP="00DE5BBE">
      <w:pPr>
        <w:spacing w:line="240" w:lineRule="auto"/>
        <w:jc w:val="both"/>
        <w:rPr>
          <w:rFonts w:ascii="Times New Roman" w:hAnsi="Times New Roman" w:cs="Times New Roman"/>
          <w:bCs/>
          <w:sz w:val="24"/>
          <w:szCs w:val="24"/>
        </w:rPr>
      </w:pPr>
      <w:r w:rsidRPr="00DE5BBE">
        <w:rPr>
          <w:rFonts w:ascii="Times New Roman" w:hAnsi="Times New Roman" w:cs="Times New Roman"/>
          <w:bCs/>
          <w:sz w:val="24"/>
          <w:szCs w:val="24"/>
        </w:rPr>
        <w:t xml:space="preserve">Furthermore, the environment of the neighborhood has also a significant impact on neighborhood safety. Residents of gated communities will be more concerned about the neighborhood’s appearance and the type of people who live there as the quality of the surrounding area improves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&lt;EndNote&gt;&lt;Cite&gt;&lt;Author&gt;Huang&lt;/Author&gt;&lt;Year&gt;2023&lt;/Year&gt;&lt;RecNum&gt;5138&lt;/RecNum&gt;&lt;DisplayText&gt;(Huang, Lieske, Wang, &amp;amp; Liu, 2023)&lt;/DisplayText&gt;&lt;record&gt;&lt;rec-number&gt;5138&lt;/rec-number&gt;&lt;foreign-keys&gt;&lt;key app="EN" db-id="900edwzvlz5zfoeradsxtdxf2swapvrr2ddd" timestamp="1691083499"&gt;5138&lt;/key&gt;&lt;/foreign-keys&gt;&lt;ref-type name="Journal Article"&gt;17&lt;/ref-type&gt;&lt;contributors&gt;&lt;authors&gt;&lt;author&gt;Huang, Yuanyuan&lt;/author&gt;&lt;author&gt;Lieske, Scott N&lt;/author&gt;&lt;author&gt;Wang, Siqin&lt;/author&gt;&lt;author&gt;Liu, Yan&lt;/author&gt;&lt;/authors&gt;&lt;/contributors&gt;&lt;titles&gt;&lt;title&gt;How does heterogeneity in dwelling type preferences relate to housing and built environment characteristics?&lt;/title&gt;&lt;secondary-title&gt;International Journal of Digital Earth&lt;/secondary-title&gt;&lt;/titles&gt;&lt;periodical&gt;&lt;full-title&gt;International Journal of Digital Earth&lt;/full-title&gt;&lt;/periodical&gt;&lt;pages&gt;93-112&lt;/pages&gt;&lt;volume&gt;16&lt;/volume&gt;&lt;number&gt;1&lt;/number&gt;&lt;dates&gt;&lt;year&gt;2023&lt;/year&gt;&lt;/dates&gt;&lt;isbn&gt;1753-8947&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(Huang, Lieske, Wang, &amp; Liu, 2023)</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Specifically, environmental factors play a crucial role in shaping housing preferences and choices. Environmental factors encompass a wide range of natural and built elements that directly impact the well-being, comfort and overall satisfaction of individuals in their living spaces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&lt;EndNote&gt;&lt;Cite&gt;&lt;Author&gt;Gibson&lt;/Author&gt;&lt;Year&gt;2023&lt;/Year&gt;&lt;RecNum&gt;5139&lt;/RecNum&gt;&lt;DisplayText&gt;(Gibson, Pope, Loeffler, Ratliff, &amp;amp; Engelhardt, 2023)&lt;/DisplayText&gt;&lt;record&gt;&lt;rec-number&gt;5139&lt;/rec-number&gt;&lt;foreign-keys&gt;&lt;key app="EN" db-id="900edwzvlz5zfoeradsxtdxf2swapvrr2ddd" timestamp="1691083634"&gt;5139&lt;/key&gt;&lt;/foreign-keys&gt;&lt;ref-type name="Journal Article"&gt;17&lt;/ref-type&gt;&lt;contributors&gt;&lt;authors&gt;&lt;author&gt;Gibson, Allison&lt;/author&gt;&lt;author&gt;Pope, Natalie&lt;/author&gt;&lt;author&gt;Loeffler, Diane&lt;/author&gt;&lt;author&gt;Ratliff, Stephanie&lt;/author&gt;&lt;author&gt;Engelhardt, Ethan&lt;/author&gt;&lt;/authors&gt;&lt;/contributors&gt;&lt;titles&gt;&lt;title&gt;Identifying aging adults’ housing preferences: An age-friendly initiative&lt;/title&gt;&lt;secondary-title&gt;Journal of Gerontological Social Work&lt;/secondary-title&gt;&lt;/titles&gt;&lt;periodical&gt;&lt;full-title&gt;Journal of Gerontological Social Work&lt;/full-title&gt;&lt;/periodical&gt;&lt;pages&gt;43-63&lt;/pages&gt;&lt;volume&gt;66&lt;/volume&gt;&lt;number&gt;1&lt;/number&gt;&lt;dates&gt;&lt;year&gt;2023&lt;/year&gt;&lt;/dates&gt;&lt;isbn&gt;0163-4372&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(Gibson, Pope, Loeffler, Ratliff, &amp; Engelhardt, 2023)</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Key environmental considerations include the location and proximity to amenities. Climate and weather conditions also significantly influence housing preferences with factors like temperature, humidity and precipitation affecting the desirability of certain regions or agricultural features like heating and cooling systems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&lt;EndNote&gt;&lt;Cite&gt;&lt;Author&gt;Alig&lt;/Author&gt;&lt;Year&gt;2023&lt;/Year&gt;&lt;RecNum&gt;5140&lt;/RecNum&gt;&lt;DisplayText&gt;(Alig, Ferket, Malheiros, &amp;amp; Anderson, 2023)&lt;/DisplayText&gt;&lt;record&gt;&lt;rec-number&gt;5140&lt;/rec-number&gt;&lt;foreign-keys&gt;&lt;key app="EN" db-id="900edwzvlz5zfoeradsxtdxf2swapvrr2ddd" timestamp="1691083814"&gt;5140&lt;/key&gt;&lt;/foreign-keys&gt;&lt;ref-type name="Journal Article"&gt;17&lt;/ref-type&gt;&lt;contributors&gt;&lt;authors&gt;&lt;author&gt;Alig, Benjamin N&lt;/author&gt;&lt;author&gt;Ferket, Peter R&lt;/author&gt;&lt;author&gt;Malheiros, Ramon D&lt;/author&gt;&lt;author&gt;Anderson, Kenneth E&lt;/author&gt;&lt;/authors&gt;&lt;/contributors&gt;&lt;titles&gt;&lt;title&gt;The effect of housing environment on commercial brown egg layer production, USDA grade and USDA size distribution&lt;/title&gt;&lt;secondary-title&gt;Animals&lt;/secondary-title&gt;&lt;/titles&gt;&lt;periodical&gt;&lt;full-title&gt;Animals&lt;/full-title&gt;&lt;/periodical&gt;&lt;pages&gt;694&lt;/pages&gt;&lt;volume&gt;13&lt;/volume&gt;&lt;number&gt;4&lt;/number&gt;&lt;dates&gt;&lt;year&gt;2023&lt;/year&gt;&lt;/dates&gt;&lt;isbn&gt;2076-2615&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(Alig, Ferket, Malheiros, &amp; Anderson, 2023)</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w:t>
      </w:r>
    </w:p>
    <w:p w:rsidR="00DE5BBE" w:rsidRPr="00DE5BBE" w:rsidRDefault="00DE5BBE" w:rsidP="00270515">
      <w:pPr>
        <w:spacing w:line="240" w:lineRule="auto"/>
        <w:jc w:val="both"/>
        <w:rPr>
          <w:rFonts w:ascii="Times New Roman" w:hAnsi="Times New Roman" w:cs="Times New Roman"/>
          <w:bCs/>
          <w:sz w:val="24"/>
          <w:szCs w:val="24"/>
        </w:rPr>
      </w:pPr>
      <w:r w:rsidRPr="00DE5BBE">
        <w:rPr>
          <w:rFonts w:ascii="Times New Roman" w:hAnsi="Times New Roman" w:cs="Times New Roman"/>
          <w:bCs/>
          <w:sz w:val="24"/>
          <w:szCs w:val="24"/>
        </w:rPr>
        <w:t xml:space="preserve">Additionally, the surrounding natural environment, such as scenic views, green spaces and access to water bodies, can greatly influence the appeal of a particular housing option. Safety and security considerations, including crime rates and vulnerability to natural disasters are also significant factors in housing decisions. Ultimately, the harmony between a dwelling and its environmental surroundings plays a pivotal role in determining the overall attractiveness and suitability of a </w:t>
      </w:r>
      <w:r w:rsidR="00935264">
        <w:rPr>
          <w:rFonts w:ascii="Times New Roman" w:hAnsi="Times New Roman" w:cs="Times New Roman"/>
          <w:bCs/>
          <w:sz w:val="24"/>
          <w:szCs w:val="24"/>
        </w:rPr>
        <w:t>home for potential residents. Overall, we conducted the literature review of our paper following several published research studies in the top research journals</w:t>
      </w:r>
      <w:r w:rsidR="00E33E30">
        <w:rPr>
          <w:rFonts w:ascii="Times New Roman" w:hAnsi="Times New Roman" w:cs="Times New Roman"/>
          <w:bCs/>
          <w:sz w:val="24"/>
          <w:szCs w:val="24"/>
        </w:rPr>
        <w:t>.</w:t>
      </w:r>
      <w:r w:rsidR="00935264">
        <w:rPr>
          <w:rFonts w:ascii="Times New Roman" w:hAnsi="Times New Roman" w:cs="Times New Roman"/>
          <w:bCs/>
          <w:sz w:val="24"/>
          <w:szCs w:val="24"/>
        </w:rPr>
        <w:t xml:space="preserve"> </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 xml:space="preserve">Property Physical Factors  </w:t>
      </w:r>
    </w:p>
    <w:p w:rsidR="00270515" w:rsidRPr="00DE5BBE" w:rsidRDefault="00270515" w:rsidP="00270515">
      <w:pPr>
        <w:spacing w:line="240" w:lineRule="auto"/>
        <w:jc w:val="both"/>
        <w:rPr>
          <w:rFonts w:ascii="Times New Roman" w:hAnsi="Times New Roman" w:cs="Times New Roman"/>
          <w:bCs/>
          <w:sz w:val="24"/>
          <w:szCs w:val="24"/>
        </w:rPr>
      </w:pPr>
      <w:r w:rsidRPr="00DE5BBE">
        <w:rPr>
          <w:rFonts w:ascii="Times New Roman" w:hAnsi="Times New Roman" w:cs="Times New Roman"/>
          <w:bCs/>
          <w:sz w:val="24"/>
          <w:szCs w:val="24"/>
        </w:rPr>
        <w:t xml:space="preserve">In recent days houses development generally get better in quality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&lt;EndNote&gt;&lt;Cite&gt;&lt;Author&gt;Foegeding&lt;/Author&gt;&lt;Year&gt;2006&lt;/Year&gt;&lt;RecNum&gt;5141&lt;/RecNum&gt;&lt;DisplayText&gt;(Foegeding, Luck, &amp;amp; Davis, 2006)&lt;/DisplayText&gt;&lt;record&gt;&lt;rec-number&gt;5141&lt;/rec-number&gt;&lt;foreign-keys&gt;&lt;key app="EN" db-id="900edwzvlz5zfoeradsxtdxf2swapvrr2ddd" timestamp="1691124398"&gt;5141&lt;/key&gt;&lt;/foreign-keys&gt;&lt;ref-type name="Journal Article"&gt;17&lt;/ref-type&gt;&lt;contributors&gt;&lt;authors&gt;&lt;author&gt;Foegeding, E Allen&lt;/author&gt;&lt;author&gt;Luck, PJ&lt;/author&gt;&lt;author&gt;Davis, Jack Parker&lt;/author&gt;&lt;/authors&gt;&lt;/contributors&gt;&lt;titles&gt;&lt;title&gt;Factors determining the physical properties of protein foams&lt;/title&gt;&lt;secondary-title&gt;Food hydrocolloids&lt;/secondary-title&gt;&lt;/titles&gt;&lt;periodical&gt;&lt;full-title&gt;Food hydrocolloids&lt;/full-title&gt;&lt;/periodical&gt;&lt;pages&gt;284-292&lt;/pages&gt;&lt;volume&gt;20&lt;/volume&gt;&lt;number&gt;2-3&lt;/number&gt;&lt;dates&gt;&lt;year&gt;2006&lt;/year&gt;&lt;/dates&gt;&lt;isbn&gt;0268-005X&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(Foegeding, Luck, &amp; Davis, 2006)</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It happens as a result of residence expectations for physical house design rising, particularly for homes in gated communities. The common misconception about gated communities is that modern design and technological advancements increase social segregation and conservatism in a nation. According to studies, when making a purchase on a related house, buyers should take into account the amount of management fees charged, the design and size of the home, and the construction of “green housing”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&lt;EndNote&gt;&lt;Cite&gt;&lt;Author&gt;Tawalbeh&lt;/Author&gt;&lt;Year&gt;2023&lt;/Year&gt;&lt;RecNum&gt;5142&lt;/RecNum&gt;&lt;DisplayText&gt;(Sajid &amp;amp; Bicer, 2023; Tawalbeh, Aljaghoub, Alami, &amp;amp; Olabi, 2023)&lt;/DisplayText&gt;&lt;record&gt;&lt;rec-number&gt;5142&lt;/rec-number&gt;&lt;foreign-keys&gt;&lt;key app="EN" db-id="900edwzvlz5zfoeradsxtdxf2swapvrr2ddd" timestamp="1691124516"&gt;5142&lt;/key&gt;&lt;/foreign-keys&gt;&lt;ref-type name="Journal Article"&gt;17&lt;/ref-type&gt;&lt;contributors&gt;&lt;authors&gt;&lt;author&gt;Tawalbeh, Muhammad&lt;/author&gt;&lt;author&gt;Aljaghoub, Haya&lt;/author&gt;&lt;author&gt;Alami, Abdul Hai&lt;/author&gt;&lt;author&gt;Olabi, Abdul Ghani&lt;/author&gt;&lt;/authors&gt;&lt;/contributors&gt;&lt;titles&gt;&lt;title&gt;Selection criteria of cooling technologies for sustainable greenhouses: A comprehensive review&lt;/title&gt;&lt;secondary-title&gt;Thermal Science and Engineering Progress&lt;/secondary-title&gt;&lt;/titles&gt;&lt;periodical&gt;&lt;full-title&gt;Thermal Science and Engineering Progress&lt;/full-title&gt;&lt;/periodical&gt;&lt;pages&gt;101666&lt;/pages&gt;&lt;dates&gt;&lt;year&gt;2023&lt;/year&gt;&lt;/dates&gt;&lt;isbn&gt;2451-9049&lt;/isbn&gt;&lt;urls&gt;&lt;/urls&gt;&lt;/record&gt;&lt;/Cite&gt;&lt;Cite&gt;&lt;Author&gt;Sajid&lt;/Author&gt;&lt;Year&gt;2023&lt;/Year&gt;&lt;RecNum&gt;5143&lt;/RecNum&gt;&lt;record&gt;&lt;rec-number&gt;5143&lt;/rec-number&gt;&lt;foreign-keys&gt;&lt;key app="EN" db-id="900edwzvlz5zfoeradsxtdxf2swapvrr2ddd" timestamp="1691124556"&gt;5143&lt;/key&gt;&lt;/foreign-keys&gt;&lt;ref-type name="Journal Article"&gt;17&lt;/ref-type&gt;&lt;contributors&gt;&lt;authors&gt;&lt;author&gt;Sajid, Muhammad Usman&lt;/author&gt;&lt;author&gt;Bicer, Yusuf&lt;/author&gt;&lt;/authors&gt;&lt;/contributors&gt;&lt;titles&gt;&lt;title&gt;Experimental investigation of spectrum selective nanofluids for thermal management of greenhouses in hot arid climates&lt;/title&gt;&lt;secondary-title&gt;Applied Thermal Engineering&lt;/secondary-title&gt;&lt;/titles&gt;&lt;periodical&gt;&lt;full-title&gt;Applied Thermal Engineering&lt;/full-title&gt;&lt;/periodical&gt;&lt;pages&gt;120019&lt;/pages&gt;&lt;volume&gt;223&lt;/volume&gt;&lt;dates&gt;&lt;year&gt;2023&lt;/year&gt;&lt;/dates&gt;&lt;isbn&gt;1359-4311&lt;/isbn&gt;&lt;urls&gt;&lt;/urls&gt;&lt;/record&gt;&lt;/Cite&gt;&lt;/EndNote&gt;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(Sajid &amp; Bicer, 2023; Tawalbeh, Aljaghoub, Alami, &amp; Olabi, 2023)</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Specifically, the preferences of residential housing in gated communities are related to the space area of the homes. </w:t>
      </w:r>
    </w:p>
    <w:p w:rsidR="00DE5BBE" w:rsidRPr="00DE5BBE" w:rsidRDefault="00DE5BBE" w:rsidP="00DE5BBE">
      <w:pPr>
        <w:spacing w:line="240" w:lineRule="auto"/>
        <w:jc w:val="both"/>
        <w:rPr>
          <w:rFonts w:ascii="Times New Roman" w:hAnsi="Times New Roman" w:cs="Times New Roman"/>
          <w:bCs/>
          <w:sz w:val="24"/>
          <w:szCs w:val="24"/>
        </w:rPr>
      </w:pPr>
      <w:r w:rsidRPr="00DE5BBE">
        <w:rPr>
          <w:rFonts w:ascii="Times New Roman" w:hAnsi="Times New Roman" w:cs="Times New Roman"/>
          <w:bCs/>
          <w:sz w:val="24"/>
          <w:szCs w:val="24"/>
        </w:rPr>
        <w:t xml:space="preserve">When it comes to choosing a place to call home, individuals are influenced by a myriad of factors. One of the most critical aspects that significantly impact housing preferences is the property’s physical attributes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&lt;EndNote&gt;&lt;Cite&gt;&lt;Author&gt;Zhu&lt;/Author&gt;&lt;Year&gt;2023&lt;/Year&gt;&lt;RecNum&gt;5144&lt;/RecNum&gt;&lt;DisplayText&gt;(Zhu, Zhang, Hua, Ji, &amp;amp; Lv, 2023)&lt;/DisplayText&gt;&lt;record&gt;&lt;rec-number&gt;5144&lt;/rec-number&gt;&lt;foreign-keys&gt;&lt;key app="EN" db-id="900edwzvlz5zfoeradsxtdxf2swapvrr2ddd" timestamp="1691124641"&gt;5144&lt;/key&gt;&lt;/foreign-keys&gt;&lt;ref-type name="Journal Article"&gt;17&lt;/ref-type&gt;&lt;contributors&gt;&lt;authors&gt;&lt;author&gt;Zhu, Jiahao&lt;/author&gt;&lt;author&gt;Zhang, Xuelai&lt;/author&gt;&lt;author&gt;Hua, Weisan&lt;/author&gt;&lt;author&gt;Ji, Jun&lt;/author&gt;&lt;author&gt;Lv, Xin&lt;/author&gt;&lt;/authors&gt;&lt;/contributors&gt;&lt;titles&gt;&lt;title&gt;Current status and development of research on phase change materials in agricultural greenhouses: A review&lt;/title&gt;&lt;secondary-title&gt;Journal of Energy Storage&lt;/secondary-title&gt;&lt;/titles&gt;&lt;periodical&gt;&lt;full-title&gt;Journal of Energy Storage&lt;/full-title&gt;&lt;/periodical&gt;&lt;pages&gt;107104&lt;/pages&gt;&lt;volume&gt;66&lt;/volume&gt;&lt;dates&gt;&lt;year&gt;2023&lt;/year&gt;&lt;/dates&gt;&lt;isbn&gt;2352-152X&lt;/isbn&gt;&lt;urls&gt;&lt;/urls&gt;&lt;/record&gt;&lt;/Cite&gt;&lt;/EndNote&gt;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(Zhu, Zhang, Hua, Ji, &amp; Lv, 2023)</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These factors encompass various tangible elements that directly contribute to the comfort, functionality and overall appeal of dwelling. Understanding the significance of these physical factors is essential for both prospective homeowners and real estate developers, as they play a pivotal role in shaping housing choices.  </w:t>
      </w:r>
    </w:p>
    <w:p w:rsidR="00DE5BBE" w:rsidRPr="00DE5BBE" w:rsidRDefault="00DE5BBE" w:rsidP="00DE5BBE">
      <w:pPr>
        <w:spacing w:line="240" w:lineRule="auto"/>
        <w:jc w:val="both"/>
        <w:rPr>
          <w:rFonts w:ascii="Times New Roman" w:hAnsi="Times New Roman" w:cs="Times New Roman"/>
          <w:bCs/>
          <w:sz w:val="24"/>
          <w:szCs w:val="24"/>
        </w:rPr>
      </w:pPr>
      <w:r w:rsidRPr="00DE5BBE">
        <w:rPr>
          <w:rFonts w:ascii="Times New Roman" w:hAnsi="Times New Roman" w:cs="Times New Roman"/>
          <w:bCs/>
          <w:sz w:val="24"/>
          <w:szCs w:val="24"/>
        </w:rPr>
        <w:t xml:space="preserve">Property physical factors are integral to shaping housing preferences. From the location and size to the architectural style and energy efficiency, each element plays a significant role in determining the desirability of a dwelling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&lt;EndNote&gt;&lt;Cite&gt;&lt;Author&gt;Zhu&lt;/Author&gt;&lt;Year&gt;2023&lt;/Year&gt;&lt;RecNum&gt;5144&lt;/RecNum&gt;&lt;DisplayText&gt;(Pournarani, Sharifabad, &amp;amp; Madadizadeh, 2023; Zhu et al., 2023)&lt;/DisplayText&gt;&lt;record&gt;&lt;rec-number&gt;5144&lt;/rec-number&gt;&lt;foreign-keys&gt;&lt;key app="EN" db-id="900edwzvlz5zfoeradsxtdxf2swapvrr2ddd" timestamp="1691124641"&gt;5144&lt;/key&gt;&lt;/foreign-keys&gt;&lt;ref-type name="Journal Article"&gt;17&lt;/ref-type&gt;&lt;contributors&gt;&lt;authors&gt;&lt;author&gt;Zhu, Jiahao&lt;/author&gt;&lt;author&gt;Zhang, Xuelai&lt;/author&gt;&lt;author&gt;Hua, Weisan&lt;/author&gt;&lt;author&gt;Ji, Jun&lt;/author&gt;&lt;author&gt;Lv, Xin&lt;/author&gt;&lt;/authors&gt;&lt;/contributors&gt;&lt;titles&gt;&lt;title&gt;Current status and development of research on phase change materials in agricultural greenhouses: A review&lt;/title&gt;&lt;secondary-title&gt;Journal of Energy Storage&lt;/secondary-title&gt;&lt;/titles&gt;&lt;periodical&gt;&lt;full-title&gt;Journal of Energy Storage&lt;/full-title&gt;&lt;/periodical&gt;&lt;pages&gt;107104&lt;/pages&gt;&lt;volume&gt;66&lt;/volume&gt;&lt;dates&gt;&lt;year&gt;2023&lt;/year&gt;&lt;/dates&gt;&lt;isbn&gt;2352-152X&lt;/isbn&gt;&lt;urls&gt;&lt;/urls&gt;&lt;/record&gt;&lt;/Cite&gt;&lt;Cite&gt;&lt;Author&gt;Pournarani&lt;/Author&gt;&lt;Year&gt;2023&lt;/Year&gt;&lt;RecNum&gt;5145&lt;/RecNum&gt;&lt;record&gt;&lt;rec-number&gt;5145&lt;/rec-number&gt;&lt;foreign-keys&gt;&lt;key app="EN" db-id="900edwzvlz5zfoeradsxtdxf2swapvrr2ddd" timestamp="1691124722"&gt;5145&lt;/key&gt;&lt;/foreign-keys&gt;&lt;ref-type name="Journal Article"&gt;17&lt;/ref-type&gt;&lt;contributors&gt;&lt;authors&gt;&lt;author&gt;Pournarani, R&lt;/author&gt;&lt;author&gt;Sharifabad, Morowati&lt;/author&gt;&lt;author&gt;Madadizadeh, F&lt;/author&gt;&lt;/authors&gt;&lt;/contributors&gt;&lt;titles&gt;&lt;title&gt;Factors Influencing Use of Integrated Pest Management in Greenhouses of Jiroft, Kerman, Iran&lt;/title&gt;&lt;secondary-title&gt;Journal of Agricultural Science and Technology&lt;/secondary-title&gt;&lt;/titles&gt;&lt;periodical&gt;&lt;full-title&gt;Journal of Agricultural Science and Technology&lt;/full-title&gt;&lt;/periodical&gt;&lt;pages&gt;0-0&lt;/pages&gt;&lt;dates&gt;&lt;year&gt;2023&lt;/year&gt;&lt;/dates&gt;&lt;urls&gt;&lt;/urls&gt;&lt;/record&gt;&lt;/Cite&gt;&lt;/EndNote&gt;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(Pournarani, Sharifabad, &amp; Madadizadeh, 2023; Zhu et al., 2023)</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w:t>
      </w:r>
      <w:r w:rsidRPr="00DE5BBE">
        <w:rPr>
          <w:rFonts w:ascii="Times New Roman" w:hAnsi="Times New Roman" w:cs="Times New Roman"/>
          <w:bCs/>
          <w:sz w:val="24"/>
          <w:szCs w:val="24"/>
        </w:rPr>
        <w:lastRenderedPageBreak/>
        <w:t xml:space="preserve">Understanding these factors and catering to the evolving preferences of potential homeowners is crucial for real estate developers and agents. By considering these physical aspects, individuals can make informed decisions about their ideal living spaces, ensuring a comfortable and fulfilling home life. Moreover, a well-designed and thoughtfully constructed property can provide a harmonious balance between functionality and sustainability contributing to the overall well-being and satisfaction of its inhabitants.   </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Distance Factors</w:t>
      </w:r>
    </w:p>
    <w:p w:rsidR="00DE5BBE" w:rsidRPr="00DE5BBE" w:rsidRDefault="00DE5BBE" w:rsidP="00DE5BBE">
      <w:pPr>
        <w:spacing w:line="240" w:lineRule="auto"/>
        <w:jc w:val="both"/>
        <w:rPr>
          <w:rFonts w:ascii="Times New Roman" w:hAnsi="Times New Roman" w:cs="Times New Roman"/>
          <w:bCs/>
          <w:sz w:val="24"/>
          <w:szCs w:val="24"/>
        </w:rPr>
      </w:pPr>
      <w:r w:rsidRPr="00DE5BBE">
        <w:rPr>
          <w:rFonts w:ascii="Times New Roman" w:hAnsi="Times New Roman" w:cs="Times New Roman"/>
          <w:bCs/>
          <w:sz w:val="24"/>
          <w:szCs w:val="24"/>
        </w:rPr>
        <w:t xml:space="preserve">When buying a property, buyers should carefully consider the location. Perceived location in relation to their interest and the distance there between constitutes a purchase intention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&lt;EndNote&gt;&lt;Cite&gt;&lt;Author&gt;Sánchez-Moral&lt;/Author&gt;&lt;Year&gt;2022&lt;/Year&gt;&lt;RecNum&gt;5146&lt;/RecNum&gt;&lt;DisplayText&gt;(Sánchez-Moral, Arellano, &amp;amp; Díez-Pisonero, 2022)&lt;/DisplayText&gt;&lt;record&gt;&lt;rec-number&gt;5146&lt;/rec-number&gt;&lt;foreign-keys&gt;&lt;key app="EN" db-id="900edwzvlz5zfoeradsxtdxf2swapvrr2ddd" timestamp="1691124804"&gt;5146&lt;/key&gt;&lt;/foreign-keys&gt;&lt;ref-type name="Journal Article"&gt;17&lt;/ref-type&gt;&lt;contributors&gt;&lt;authors&gt;&lt;author&gt;Sánchez-Moral, Simón&lt;/author&gt;&lt;author&gt;Arellano, Alfonso&lt;/author&gt;&lt;author&gt;Díez-Pisonero, Roberto&lt;/author&gt;&lt;/authors&gt;&lt;/contributors&gt;&lt;titles&gt;&lt;title&gt;Understanding the role of neighbourhood characteristics and distance to workplace in the residential location patterns of knowledge workers in large cities&lt;/title&gt;&lt;secondary-title&gt;Cities&lt;/secondary-title&gt;&lt;/titles&gt;&lt;periodical&gt;&lt;full-title&gt;Cities&lt;/full-title&gt;&lt;/periodical&gt;&lt;pages&gt;103764&lt;/pages&gt;&lt;volume&gt;127&lt;/volume&gt;&lt;dates&gt;&lt;year&gt;2022&lt;/year&gt;&lt;/dates&gt;&lt;isbn&gt;0264-2751&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(Sánchez-Moral, Arellano, &amp; Díez-Pisonero, 2022)</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For instance, residential homes in gated communities close to the city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&lt;EndNote&gt;&lt;Cite&gt;&lt;Author&gt;Kanwal&lt;/Author&gt;&lt;Year&gt;2019&lt;/Year&gt;&lt;RecNum&gt;3683&lt;/RecNum&gt;&lt;DisplayText&gt;(Kanwal, Chong, &amp;amp; Pitafi, 2019a)&lt;/DisplayText&gt;&lt;record&gt;&lt;rec-number&gt;3683&lt;/rec-number&gt;&lt;foreign-keys&gt;&lt;key app="EN" db-id="900edwzvlz5zfoeradsxtdxf2swapvrr2ddd" timestamp="1545589499"&gt;3683&lt;/key&gt;&lt;/foreign-keys&gt;&lt;ref-type name="Journal Article"&gt;17&lt;/ref-type&gt;&lt;contributors&gt;&lt;authors&gt;&lt;author&gt;Kanwal, Shamsa&lt;/author&gt;&lt;author&gt;Chong, Ren&lt;/author&gt;&lt;author&gt;Pitafi, Abdul Hameed&lt;/author&gt;&lt;/authors&gt;&lt;/contributors&gt;&lt;titles&gt;&lt;title&gt;China–Pakistan economic corridor projects development in Pakistan: Local citizens benefits perspective&lt;/title&gt;&lt;secondary-title&gt;Journal of Public Affairs&lt;/secondary-title&gt;&lt;/titles&gt;&lt;periodical&gt;&lt;full-title&gt;Journal of Public Affairs&lt;/full-title&gt;&lt;/periodical&gt;&lt;pages&gt;12&lt;/pages&gt;&lt;volume&gt;19&lt;/volume&gt;&lt;number&gt;1&lt;/number&gt;&lt;dates&gt;&lt;year&gt;2019&lt;/year&gt;&lt;/dates&gt;&lt;isbn&gt;1472-3891&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(Kanwal, Chong, &amp; Pitafi, 2019a)</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workplaces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&lt;EndNote&gt;&lt;Cite&gt;&lt;Author&gt;Sánchez-Moral&lt;/Author&gt;&lt;Year&gt;2022&lt;/Year&gt;&lt;RecNum&gt;5146&lt;/RecNum&gt;&lt;DisplayText&gt;(Sánchez-Moral et al., 2022)&lt;/DisplayText&gt;&lt;record&gt;&lt;rec-number&gt;5146&lt;/rec-number&gt;&lt;foreign-keys&gt;&lt;key app="EN" db-id="900edwzvlz5zfoeradsxtdxf2swapvrr2ddd" timestamp="1691124804"&gt;5146&lt;/key&gt;&lt;/foreign-keys&gt;&lt;ref-type name="Journal Article"&gt;17&lt;/ref-type&gt;&lt;contributors&gt;&lt;authors&gt;&lt;author&gt;Sánchez-Moral, Simón&lt;/author&gt;&lt;author&gt;Arellano, Alfonso&lt;/author&gt;&lt;author&gt;Díez-Pisonero, Roberto&lt;/author&gt;&lt;/authors&gt;&lt;/contributors&gt;&lt;titles&gt;&lt;title&gt;Understanding the role of neighbourhood characteristics and distance to workplace in the residential location patterns of knowledge workers in large cities&lt;/title&gt;&lt;secondary-title&gt;Cities&lt;/secondary-title&gt;&lt;/titles&gt;&lt;periodical&gt;&lt;full-title&gt;Cities&lt;/full-title&gt;&lt;/periodical&gt;&lt;pages&gt;103764&lt;/pages&gt;&lt;volume&gt;127&lt;/volume&gt;&lt;dates&gt;&lt;year&gt;2022&lt;/year&gt;&lt;/dates&gt;&lt;isbn&gt;0264-2751&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(Sánchez-Moral et al., 2022)</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schools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&lt;EndNote&gt;&lt;Cite&gt;&lt;Author&gt;Kanwal&lt;/Author&gt;&lt;Year&gt;2020&lt;/Year&gt;&lt;RecNum&gt;4327&lt;/RecNum&gt;&lt;DisplayText&gt;(Kanwal, Rasheed, et al., 2020)&lt;/DisplayText&gt;&lt;record&gt;&lt;rec-number&gt;4327&lt;/rec-number&gt;&lt;foreign-keys&gt;&lt;key app="EN" db-id="900edwzvlz5zfoeradsxtdxf2swapvrr2ddd" timestamp="1571722857"&gt;4327&lt;/key&gt;&lt;/foreign-keys&gt;&lt;ref-type name="Journal Article"&gt;17&lt;/ref-type&gt;&lt;contributors&gt;&lt;authors&gt;&lt;author&gt;Kanwal, Shamsa&lt;/author&gt;&lt;author&gt;Rasheed, Muhammad Imran&lt;/author&gt;&lt;author&gt;Pitafi, Abdul Hameed&lt;/author&gt;&lt;author&gt;Pitafi, Adnan&lt;/author&gt;&lt;author&gt;Ren, Minglun&lt;/author&gt;&lt;/authors&gt;&lt;/contributors&gt;&lt;titles&gt;&lt;title&gt;Road and transport infrastructure development and community support for tourism: The role of perceived benefits, and community satisfaction&lt;/title&gt;&lt;secondary-title&gt;Tourism Management&lt;/secondary-title&gt;&lt;/titles&gt;&lt;periodical&gt;&lt;full-title&gt;Tourism Management&lt;/full-title&gt;&lt;/periodical&gt;&lt;pages&gt;104014&lt;/pages&gt;&lt;volume&gt;77&lt;/volume&gt;&lt;dates&gt;&lt;year&gt;2020&lt;/year&gt;&lt;/dates&gt;&lt;isbn&gt;0261-5177&lt;/isbn&gt;&lt;urls&gt;&lt;/urls&gt;&lt;/record&gt;&lt;/Cite&gt;&lt;/EndNote&gt;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(Kanwal, Rasheed, et al., 2020)</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One of the main justifications given by potential or current home buyers for choosing to live in a gated community is the distance to local points of interest. Families are willing to purchase a variety of rights to meet their individual needs. The concept of distance factors in housing preferences refers to the influence of proximity to various amenities and services on individual decisions regarding residential location. Common distance factors include proximity to workplaces, schools, healthcare facilities, shopping centers and social amenities. Commuting distance to workplaces is a significant consideration for many individuals when choosing a place to live.   </w:t>
      </w:r>
    </w:p>
    <w:p w:rsidR="00DE5BBE" w:rsidRPr="00DE5BBE" w:rsidRDefault="00DE5BBE" w:rsidP="00DE5BBE">
      <w:pPr>
        <w:spacing w:line="240" w:lineRule="auto"/>
        <w:jc w:val="both"/>
        <w:rPr>
          <w:rFonts w:ascii="Times New Roman" w:hAnsi="Times New Roman" w:cs="Times New Roman"/>
          <w:bCs/>
          <w:sz w:val="24"/>
          <w:szCs w:val="24"/>
        </w:rPr>
      </w:pPr>
      <w:r w:rsidRPr="00DE5BBE">
        <w:rPr>
          <w:rFonts w:ascii="Times New Roman" w:hAnsi="Times New Roman" w:cs="Times New Roman"/>
          <w:bCs/>
          <w:sz w:val="24"/>
          <w:szCs w:val="24"/>
        </w:rPr>
        <w:t xml:space="preserve">One key determinant in housing preferences is the distance to various amenities and facilities, which has a significant impact on the quality of life and overall well-being of individuals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&lt;EndNote&gt;&lt;Cite&gt;&lt;Author&gt;Liu&lt;/Author&gt;&lt;Year&gt;2022&lt;/Year&gt;&lt;RecNum&gt;5147&lt;/RecNum&gt;&lt;DisplayText&gt;(R. Liu, Greene, Yu, &amp;amp; Lv, 2022)&lt;/DisplayText&gt;&lt;record&gt;&lt;rec-number&gt;5147&lt;/rec-number&gt;&lt;foreign-keys&gt;&lt;key app="EN" db-id="900edwzvlz5zfoeradsxtdxf2swapvrr2ddd" timestamp="1691124973"&gt;5147&lt;/key&gt;&lt;/foreign-keys&gt;&lt;ref-type name="Journal Article"&gt;17&lt;/ref-type&gt;&lt;contributors&gt;&lt;authors&gt;&lt;author&gt;Liu, Ran&lt;/author&gt;&lt;author&gt;Greene, Richard&lt;/author&gt;&lt;author&gt;Yu, Ying&lt;/author&gt;&lt;author&gt;Lv, Hangtian&lt;/author&gt;&lt;/authors&gt;&lt;/contributors&gt;&lt;titles&gt;&lt;title&gt;Are migration and settlement environment-driven? Environment-related residential preferences of migrants in China&lt;/title&gt;&lt;secondary-title&gt;Journal of Cleaner Production&lt;/secondary-title&gt;&lt;/titles&gt;&lt;periodical&gt;&lt;full-title&gt;Journal of Cleaner Production&lt;/full-title&gt;&lt;/periodical&gt;&lt;pages&gt;134263&lt;/pages&gt;&lt;volume&gt;377&lt;/volume&gt;&lt;dates&gt;&lt;year&gt;2022&lt;/year&gt;&lt;/dates&gt;&lt;isbn&gt;0959-6526&lt;/isbn&gt;&lt;urls&gt;&lt;/urls&gt;&lt;/record&gt;&lt;/Cite&gt;&lt;/EndNote&gt;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(R. Liu, Greene, Yu, &amp; Lv, 2022)</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Understanding the role of distance factors in housing preferences is crucial for urban planners and real estate developers in creating sustainable and livable communities. </w:t>
      </w:r>
    </w:p>
    <w:p w:rsidR="00DE5BBE" w:rsidRPr="00DE5BBE" w:rsidRDefault="00DE5BBE" w:rsidP="00DE5BBE">
      <w:pPr>
        <w:spacing w:line="240" w:lineRule="auto"/>
        <w:jc w:val="both"/>
        <w:rPr>
          <w:rFonts w:ascii="Times New Roman" w:hAnsi="Times New Roman" w:cs="Times New Roman"/>
          <w:bCs/>
          <w:sz w:val="24"/>
          <w:szCs w:val="24"/>
        </w:rPr>
      </w:pPr>
      <w:r w:rsidRPr="00DE5BBE">
        <w:rPr>
          <w:rFonts w:ascii="Times New Roman" w:hAnsi="Times New Roman" w:cs="Times New Roman"/>
          <w:bCs/>
          <w:sz w:val="24"/>
          <w:szCs w:val="24"/>
        </w:rPr>
        <w:t xml:space="preserve">The literature on distance factors in housing preferences highlights the crucial role proximity to various amenities plays in shaping residential location choices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&lt;EndNote&gt;&lt;Cite&gt;&lt;Author&gt;Chenyang&lt;/Author&gt;&lt;Year&gt;2022&lt;/Year&gt;&lt;RecNum&gt;5148&lt;/RecNum&gt;&lt;DisplayText&gt;(Chenyang, Maruthaveeran, &amp;amp; Shahidan, 2022)&lt;/DisplayText&gt;&lt;record&gt;&lt;rec-number&gt;5148&lt;/rec-number&gt;&lt;foreign-keys&gt;&lt;key app="EN" db-id="900edwzvlz5zfoeradsxtdxf2swapvrr2ddd" timestamp="1691125040"&gt;5148&lt;/key&gt;&lt;/foreign-keys&gt;&lt;ref-type name="Journal Article"&gt;17&lt;/ref-type&gt;&lt;contributors&gt;&lt;authors&gt;&lt;author&gt;Chenyang, Dai&lt;/author&gt;&lt;author&gt;Maruthaveeran, Sreetheran&lt;/author&gt;&lt;author&gt;Shahidan, Mohd Fairuz&lt;/author&gt;&lt;/authors&gt;&lt;/contributors&gt;&lt;titles&gt;&lt;title&gt;The usage, constraints and preferences of green space at disadvantage neighbourhood: A review of empirical evidence&lt;/title&gt;&lt;secondary-title&gt;Urban Forestry &amp;amp; Urban Greening&lt;/secondary-title&gt;&lt;/titles&gt;&lt;periodical&gt;&lt;full-title&gt;Urban Forestry &amp;amp; Urban Greening&lt;/full-title&gt;&lt;/periodical&gt;&lt;pages&gt;127696&lt;/pages&gt;&lt;dates&gt;&lt;year&gt;2022&lt;/year&gt;&lt;/dates&gt;&lt;isbn&gt;1618-8667&lt;/isbn&gt;&lt;urls&gt;&lt;/urls&gt;&lt;/record&gt;&lt;/Cite&gt;&lt;/EndNote&gt;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(Chenyang, Maruthaveeran, &amp; Shahidan, 2022)</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Hence, this study investigate the role of distance factor in housing preference. </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 xml:space="preserve">Facilities </w:t>
      </w:r>
    </w:p>
    <w:p w:rsidR="00DE5BBE" w:rsidRPr="00DE5BBE" w:rsidRDefault="00DE5BBE" w:rsidP="00DE5BBE">
      <w:pPr>
        <w:spacing w:line="240" w:lineRule="auto"/>
        <w:jc w:val="both"/>
        <w:rPr>
          <w:rFonts w:ascii="Times New Roman" w:hAnsi="Times New Roman" w:cs="Times New Roman"/>
          <w:sz w:val="24"/>
          <w:szCs w:val="24"/>
        </w:rPr>
      </w:pPr>
      <w:r w:rsidRPr="00DE5BBE">
        <w:rPr>
          <w:rFonts w:ascii="Times New Roman" w:hAnsi="Times New Roman" w:cs="Times New Roman"/>
          <w:sz w:val="24"/>
          <w:szCs w:val="24"/>
        </w:rPr>
        <w:t xml:space="preserve">In contrast with other factors, another attraction of gated communities is basic facilities of lifestyle </w:t>
      </w:r>
      <w:r w:rsidRPr="00DE5BBE">
        <w:rPr>
          <w:rFonts w:ascii="Times New Roman" w:hAnsi="Times New Roman" w:cs="Times New Roman"/>
          <w:sz w:val="24"/>
          <w:szCs w:val="24"/>
        </w:rPr>
        <w:fldChar w:fldCharType="begin"/>
      </w:r>
      <w:r w:rsidRPr="00DE5BBE">
        <w:rPr>
          <w:rFonts w:ascii="Times New Roman" w:hAnsi="Times New Roman" w:cs="Times New Roman"/>
          <w:sz w:val="24"/>
          <w:szCs w:val="24"/>
        </w:rPr>
        <w:instrText xml:space="preserve"> ADDIN EN.CITE &lt;EndNote&gt;&lt;Cite&gt;&lt;Author&gt;Elsinga&lt;/Author&gt;&lt;Year&gt;2020&lt;/Year&gt;&lt;RecNum&gt;5151&lt;/RecNum&gt;&lt;DisplayText&gt;(Elsinga, Hoekstra, Sedighi, &amp;amp; Taebi, 2020)&lt;/DisplayText&gt;&lt;record&gt;&lt;rec-number&gt;5151&lt;/rec-number&gt;&lt;foreign-keys&gt;&lt;key app="EN" db-id="900edwzvlz5zfoeradsxtdxf2swapvrr2ddd" timestamp="1691126134"&gt;5151&lt;/key&gt;&lt;/foreign-keys&gt;&lt;ref-type name="Journal Article"&gt;17&lt;/ref-type&gt;&lt;contributors&gt;&lt;authors&gt;&lt;author&gt;Elsinga, Marja&lt;/author&gt;&lt;author&gt;Hoekstra, Joris&lt;/author&gt;&lt;author&gt;Sedighi, Mohamad&lt;/author&gt;&lt;author&gt;Taebi, Behnam&lt;/author&gt;&lt;/authors&gt;&lt;/contributors&gt;&lt;titles&gt;&lt;title&gt;Toward sustainable and inclusive housing: Underpinning housing policy as design for values&lt;/title&gt;&lt;secondary-title&gt;Sustainability&lt;/secondary-title&gt;&lt;/titles&gt;&lt;periodical&gt;&lt;full-title&gt;Sustainability&lt;/full-title&gt;&lt;/periodical&gt;&lt;pages&gt;1920&lt;/pages&gt;&lt;volume&gt;12&lt;/volume&gt;&lt;number&gt;5&lt;/number&gt;&lt;dates&gt;&lt;year&gt;2020&lt;/year&gt;&lt;/dates&gt;&lt;isbn&gt;2071-1050&lt;/isbn&gt;&lt;urls&gt;&lt;/urls&gt;&lt;/record&gt;&lt;/Cite&gt;&lt;/EndNote&gt;</w:instrText>
      </w:r>
      <w:r w:rsidRPr="00DE5BBE">
        <w:rPr>
          <w:rFonts w:ascii="Times New Roman" w:hAnsi="Times New Roman" w:cs="Times New Roman"/>
          <w:sz w:val="24"/>
          <w:szCs w:val="24"/>
        </w:rPr>
        <w:fldChar w:fldCharType="separate"/>
      </w:r>
      <w:r w:rsidRPr="00DE5BBE">
        <w:rPr>
          <w:rFonts w:ascii="Times New Roman" w:hAnsi="Times New Roman" w:cs="Times New Roman"/>
          <w:sz w:val="24"/>
          <w:szCs w:val="24"/>
        </w:rPr>
        <w:t>(Elsinga, Hoekstra, Sedighi, &amp; Taebi, 2020)</w:t>
      </w:r>
      <w:r w:rsidRPr="00DE5BBE">
        <w:rPr>
          <w:rFonts w:ascii="Times New Roman" w:hAnsi="Times New Roman" w:cs="Times New Roman"/>
          <w:sz w:val="24"/>
          <w:szCs w:val="24"/>
        </w:rPr>
        <w:fldChar w:fldCharType="end"/>
      </w:r>
      <w:r w:rsidRPr="00DE5BBE">
        <w:rPr>
          <w:rFonts w:ascii="Times New Roman" w:hAnsi="Times New Roman" w:cs="Times New Roman"/>
          <w:sz w:val="24"/>
          <w:szCs w:val="24"/>
        </w:rPr>
        <w:t xml:space="preserve">. For housing preference the residence consider several facilities that included nearby school, electricity, road and other animates of life </w:t>
      </w:r>
      <w:r w:rsidRPr="00DE5BBE">
        <w:rPr>
          <w:rFonts w:ascii="Times New Roman" w:hAnsi="Times New Roman" w:cs="Times New Roman"/>
          <w:sz w:val="24"/>
          <w:szCs w:val="24"/>
        </w:rPr>
        <w:fldChar w:fldCharType="begin"/>
      </w:r>
      <w:r w:rsidRPr="00DE5BBE">
        <w:rPr>
          <w:rFonts w:ascii="Times New Roman" w:hAnsi="Times New Roman" w:cs="Times New Roman"/>
          <w:sz w:val="24"/>
          <w:szCs w:val="24"/>
        </w:rPr>
        <w:instrText xml:space="preserve"> ADDIN EN.CITE &lt;EndNote&gt;&lt;Cite&gt;&lt;Author&gt;Jansen&lt;/Author&gt;&lt;Year&gt;2020&lt;/Year&gt;&lt;RecNum&gt;5152&lt;/RecNum&gt;&lt;DisplayText&gt;(Jansen, 2020)&lt;/DisplayText&gt;&lt;record&gt;&lt;rec-number&gt;5152&lt;/rec-number&gt;&lt;foreign-keys&gt;&lt;key app="EN" db-id="900edwzvlz5zfoeradsxtdxf2swapvrr2ddd" timestamp="1691126194"&gt;5152&lt;/key&gt;&lt;/foreign-keys&gt;&lt;ref-type name="Journal Article"&gt;17&lt;/ref-type&gt;&lt;contributors&gt;&lt;authors&gt;&lt;author&gt;Jansen, Sylvia JT&lt;/author&gt;&lt;/authors&gt;&lt;/contributors&gt;&lt;titles&gt;&lt;title&gt;Urban, suburban or rural? Understanding preferences for the residential environment&lt;/title&gt;&lt;secondary-title&gt;Journal of Urbanism: International Research on Placemaking and Urban Sustainability&lt;/secondary-title&gt;&lt;/titles&gt;&lt;periodical&gt;&lt;full-title&gt;Journal of Urbanism: International Research on Placemaking and Urban Sustainability&lt;/full-title&gt;&lt;/periodical&gt;&lt;pages&gt;213-235&lt;/pages&gt;&lt;volume&gt;13&lt;/volume&gt;&lt;number&gt;2&lt;/number&gt;&lt;dates&gt;&lt;year&gt;2020&lt;/year&gt;&lt;/dates&gt;&lt;isbn&gt;1754-9175&lt;/isbn&gt;&lt;urls&gt;&lt;/urls&gt;&lt;/record&gt;&lt;/Cite&gt;&lt;/EndNote&gt;</w:instrText>
      </w:r>
      <w:r w:rsidRPr="00DE5BBE">
        <w:rPr>
          <w:rFonts w:ascii="Times New Roman" w:hAnsi="Times New Roman" w:cs="Times New Roman"/>
          <w:sz w:val="24"/>
          <w:szCs w:val="24"/>
        </w:rPr>
        <w:fldChar w:fldCharType="separate"/>
      </w:r>
      <w:r w:rsidRPr="00DE5BBE">
        <w:rPr>
          <w:rFonts w:ascii="Times New Roman" w:hAnsi="Times New Roman" w:cs="Times New Roman"/>
          <w:sz w:val="24"/>
          <w:szCs w:val="24"/>
        </w:rPr>
        <w:t>(Jansen, 2020)</w:t>
      </w:r>
      <w:r w:rsidRPr="00DE5BBE">
        <w:rPr>
          <w:rFonts w:ascii="Times New Roman" w:hAnsi="Times New Roman" w:cs="Times New Roman"/>
          <w:sz w:val="24"/>
          <w:szCs w:val="24"/>
        </w:rPr>
        <w:fldChar w:fldCharType="end"/>
      </w:r>
      <w:r w:rsidRPr="00DE5BBE">
        <w:rPr>
          <w:rFonts w:ascii="Times New Roman" w:hAnsi="Times New Roman" w:cs="Times New Roman"/>
          <w:sz w:val="24"/>
          <w:szCs w:val="24"/>
        </w:rPr>
        <w:t xml:space="preserve">. For example, better road infrastructure, transit, electricity, water supply lines and drainage systems have significant role in determining where to invest or buy property </w:t>
      </w:r>
      <w:r w:rsidRPr="00DE5BBE">
        <w:rPr>
          <w:rFonts w:ascii="Times New Roman" w:hAnsi="Times New Roman" w:cs="Times New Roman"/>
          <w:sz w:val="24"/>
          <w:szCs w:val="24"/>
        </w:rPr>
        <w:fldChar w:fldCharType="begin"/>
      </w:r>
      <w:r w:rsidRPr="00DE5BBE">
        <w:rPr>
          <w:rFonts w:ascii="Times New Roman" w:hAnsi="Times New Roman" w:cs="Times New Roman"/>
          <w:sz w:val="24"/>
          <w:szCs w:val="24"/>
        </w:rPr>
        <w:instrText xml:space="preserve"> ADDIN EN.CITE &lt;EndNote&gt;&lt;Cite&gt;&lt;Author&gt;Thanaraju&lt;/Author&gt;&lt;Year&gt;2019&lt;/Year&gt;&lt;RecNum&gt;5149&lt;/RecNum&gt;&lt;DisplayText&gt;(Thanaraju, Khan, Juhari, Sivanathan, &amp;amp; Khair, 2019)&lt;/DisplayText&gt;&lt;record&gt;&lt;rec-number&gt;5149&lt;/rec-number&gt;&lt;foreign-keys&gt;&lt;key app="EN" db-id="900edwzvlz5zfoeradsxtdxf2swapvrr2ddd" timestamp="1691125467"&gt;5149&lt;/key&gt;&lt;/foreign-keys&gt;&lt;ref-type name="Journal Article"&gt;17&lt;/ref-type&gt;&lt;contributors&gt;&lt;authors&gt;&lt;author&gt;Thanaraju, Puvaneswary&lt;/author&gt;&lt;author&gt;Khan, Puteri Ameera Mentaza&lt;/author&gt;&lt;author&gt;Juhari, Nur Hafizah&lt;/author&gt;&lt;author&gt;Sivanathan, Sheelah&lt;/author&gt;&lt;author&gt;Khair, Nurhayati Md&lt;/author&gt;&lt;/authors&gt;&lt;/contributors&gt;&lt;titles&gt;&lt;title&gt;Factors affecting the housing preferences of homebuyers in Kuala Lumpur&lt;/title&gt;&lt;secondary-title&gt;Planning Malaysia&lt;/secondary-title&gt;&lt;/titles&gt;&lt;periodical&gt;&lt;full-title&gt;Planning Malaysia&lt;/full-title&gt;&lt;/periodical&gt;&lt;volume&gt;17&lt;/volume&gt;&lt;dates&gt;&lt;year&gt;2019&lt;/year&gt;&lt;/dates&gt;&lt;isbn&gt;0128-0945&lt;/isbn&gt;&lt;urls&gt;&lt;/urls&gt;&lt;/record&gt;&lt;/Cite&gt;&lt;/EndNote&gt;</w:instrText>
      </w:r>
      <w:r w:rsidRPr="00DE5BBE">
        <w:rPr>
          <w:rFonts w:ascii="Times New Roman" w:hAnsi="Times New Roman" w:cs="Times New Roman"/>
          <w:sz w:val="24"/>
          <w:szCs w:val="24"/>
        </w:rPr>
        <w:fldChar w:fldCharType="separate"/>
      </w:r>
      <w:r w:rsidRPr="00DE5BBE">
        <w:rPr>
          <w:rFonts w:ascii="Times New Roman" w:hAnsi="Times New Roman" w:cs="Times New Roman"/>
          <w:sz w:val="24"/>
          <w:szCs w:val="24"/>
        </w:rPr>
        <w:t>(Thanaraju, Khan, Juhari, Sivanathan, &amp; Khair, 2019)</w:t>
      </w:r>
      <w:r w:rsidRPr="00DE5BBE">
        <w:rPr>
          <w:rFonts w:ascii="Times New Roman" w:hAnsi="Times New Roman" w:cs="Times New Roman"/>
          <w:sz w:val="24"/>
          <w:szCs w:val="24"/>
        </w:rPr>
        <w:fldChar w:fldCharType="end"/>
      </w:r>
      <w:r w:rsidRPr="00DE5BBE">
        <w:rPr>
          <w:rFonts w:ascii="Times New Roman" w:hAnsi="Times New Roman" w:cs="Times New Roman"/>
          <w:sz w:val="24"/>
          <w:szCs w:val="24"/>
        </w:rPr>
        <w:t xml:space="preserve">. Given the community features, the need for gated and guarded residences has risen significantly in the most recent year, particularly in Hyderabad. The most important factors associated with housing preferences are basic facilities of life </w:t>
      </w:r>
      <w:r w:rsidRPr="00DE5BBE">
        <w:rPr>
          <w:rFonts w:ascii="Times New Roman" w:hAnsi="Times New Roman" w:cs="Times New Roman"/>
          <w:sz w:val="24"/>
          <w:szCs w:val="24"/>
        </w:rPr>
        <w:fldChar w:fldCharType="begin"/>
      </w:r>
      <w:r w:rsidRPr="00DE5BBE">
        <w:rPr>
          <w:rFonts w:ascii="Times New Roman" w:hAnsi="Times New Roman" w:cs="Times New Roman"/>
          <w:sz w:val="24"/>
          <w:szCs w:val="24"/>
        </w:rPr>
        <w:instrText xml:space="preserve"> ADDIN EN.CITE &lt;EndNote&gt;&lt;Cite&gt;&lt;Author&gt;Daniel&lt;/Author&gt;&lt;Year&gt;2019&lt;/Year&gt;&lt;RecNum&gt;5160&lt;/RecNum&gt;&lt;DisplayText&gt;(Daniel, Baker, &amp;amp; Williamson, 2019)&lt;/DisplayText&gt;&lt;record&gt;&lt;rec-number&gt;5160&lt;/rec-number&gt;&lt;foreign-keys&gt;&lt;key app="EN" db-id="900edwzvlz5zfoeradsxtdxf2swapvrr2ddd" timestamp="1691129524"&gt;5160&lt;/key&gt;&lt;/foreign-keys&gt;&lt;ref-type name="Journal Article"&gt;17&lt;/ref-type&gt;&lt;contributors&gt;&lt;authors&gt;&lt;author&gt;Daniel, Lyrian&lt;/author&gt;&lt;author&gt;Baker, Emma&lt;/author&gt;&lt;author&gt;Williamson, Terence&lt;/author&gt;&lt;/authors&gt;&lt;/contributors&gt;&lt;titles&gt;&lt;title&gt;Cold housing in mild-climate countries: A study of indoor environmental quality and comfort preferences in homes, Adelaide, Australia&lt;/title&gt;&lt;secondary-title&gt;Building and Environment&lt;/secondary-title&gt;&lt;/titles&gt;&lt;periodical&gt;&lt;full-title&gt;Building and Environment&lt;/full-title&gt;&lt;/periodical&gt;&lt;pages&gt;207-218&lt;/pages&gt;&lt;volume&gt;151&lt;/volume&gt;&lt;dates&gt;&lt;year&gt;2019&lt;/year&gt;&lt;/dates&gt;&lt;isbn&gt;0360-1323&lt;/isbn&gt;&lt;urls&gt;&lt;/urls&gt;&lt;/record&gt;&lt;/Cite&gt;&lt;/EndNote&gt;</w:instrText>
      </w:r>
      <w:r w:rsidRPr="00DE5BBE">
        <w:rPr>
          <w:rFonts w:ascii="Times New Roman" w:hAnsi="Times New Roman" w:cs="Times New Roman"/>
          <w:sz w:val="24"/>
          <w:szCs w:val="24"/>
        </w:rPr>
        <w:fldChar w:fldCharType="separate"/>
      </w:r>
      <w:r w:rsidRPr="00DE5BBE">
        <w:rPr>
          <w:rFonts w:ascii="Times New Roman" w:hAnsi="Times New Roman" w:cs="Times New Roman"/>
          <w:sz w:val="24"/>
          <w:szCs w:val="24"/>
        </w:rPr>
        <w:t>(Daniel, Baker, &amp; Williamson, 2019)</w:t>
      </w:r>
      <w:r w:rsidRPr="00DE5BBE">
        <w:rPr>
          <w:rFonts w:ascii="Times New Roman" w:hAnsi="Times New Roman" w:cs="Times New Roman"/>
          <w:sz w:val="24"/>
          <w:szCs w:val="24"/>
        </w:rPr>
        <w:fldChar w:fldCharType="end"/>
      </w:r>
      <w:r w:rsidRPr="00DE5BBE">
        <w:rPr>
          <w:rFonts w:ascii="Times New Roman" w:hAnsi="Times New Roman" w:cs="Times New Roman"/>
          <w:sz w:val="24"/>
          <w:szCs w:val="24"/>
        </w:rPr>
        <w:t xml:space="preserve">. The essential concern is facilities, which play a critical role in the accomplishment of the building project. Basic amenities in a home project will increase the owner's profit and return. Therefore, this study </w:t>
      </w:r>
      <w:r w:rsidR="00E22183" w:rsidRPr="00DE5BBE">
        <w:rPr>
          <w:rFonts w:ascii="Times New Roman" w:hAnsi="Times New Roman" w:cs="Times New Roman"/>
          <w:sz w:val="24"/>
          <w:szCs w:val="24"/>
        </w:rPr>
        <w:t>investigates</w:t>
      </w:r>
      <w:r w:rsidRPr="00DE5BBE">
        <w:rPr>
          <w:rFonts w:ascii="Times New Roman" w:hAnsi="Times New Roman" w:cs="Times New Roman"/>
          <w:sz w:val="24"/>
          <w:szCs w:val="24"/>
        </w:rPr>
        <w:t xml:space="preserve"> the facilities related to housing project. </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lastRenderedPageBreak/>
        <w:t>Financial Factors</w:t>
      </w:r>
    </w:p>
    <w:p w:rsidR="00052445" w:rsidRDefault="00DE5BBE" w:rsidP="00052445">
      <w:pPr>
        <w:spacing w:line="240" w:lineRule="auto"/>
        <w:jc w:val="both"/>
        <w:rPr>
          <w:rFonts w:ascii="Times New Roman" w:hAnsi="Times New Roman" w:cs="Times New Roman"/>
          <w:bCs/>
          <w:sz w:val="24"/>
          <w:szCs w:val="24"/>
        </w:rPr>
      </w:pPr>
      <w:r w:rsidRPr="00DE5BBE">
        <w:rPr>
          <w:rFonts w:ascii="Times New Roman" w:hAnsi="Times New Roman" w:cs="Times New Roman"/>
          <w:bCs/>
          <w:sz w:val="24"/>
          <w:szCs w:val="24"/>
        </w:rPr>
        <w:t xml:space="preserve">Residential homes are much more expensive than open-space homes, and people tend to buy them depending on their level of disposable income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&lt;EndNote&gt;&lt;Cite&gt;&lt;Author&gt;Pope&lt;/Author&gt;&lt;Year&gt;2023&lt;/Year&gt;&lt;RecNum&gt;5150&lt;/RecNum&gt;&lt;DisplayText&gt;(Pope et al., 2023)&lt;/DisplayText&gt;&lt;record&gt;&lt;rec-number&gt;5150&lt;/rec-number&gt;&lt;foreign-keys&gt;&lt;key app="EN" db-id="900edwzvlz5zfoeradsxtdxf2swapvrr2ddd" timestamp="1691125523"&gt;5150&lt;/key&gt;&lt;/foreign-keys&gt;&lt;ref-type name="Journal Article"&gt;17&lt;/ref-type&gt;&lt;contributors&gt;&lt;authors&gt;&lt;author&gt;Pope, Natalie D&lt;/author&gt;&lt;author&gt;Gibson, Allison&lt;/author&gt;&lt;author&gt;Engelhardt, Ethan&lt;/author&gt;&lt;author&gt;Ratliff, Stephanie&lt;/author&gt;&lt;author&gt;Lewinson, Terri&lt;/author&gt;&lt;author&gt;Loeffler, Diane N&lt;/author&gt;&lt;/authors&gt;&lt;/contributors&gt;&lt;titles&gt;&lt;title&gt;Conversations about community, connection to place, and housing preferences among aging adults in Lexington, Kentucky&lt;/title&gt;&lt;secondary-title&gt;Journal of Gerontological Social Work&lt;/secondary-title&gt;&lt;/titles&gt;&lt;periodical&gt;&lt;full-title&gt;Journal of Gerontological Social Work&lt;/full-title&gt;&lt;/periodical&gt;&lt;pages&gt;64-82&lt;/pages&gt;&lt;volume&gt;66&lt;/volume&gt;&lt;number&gt;1&lt;/number&gt;&lt;dates&gt;&lt;year&gt;2023&lt;/year&gt;&lt;/dates&gt;&lt;isbn&gt;0163-4372&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(Pope et al., 2023)</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A country’s ability to spend more money is increased by having a high level of disposable income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&lt;EndNote&gt;&lt;Cite&gt;&lt;Author&gt;Chuah&lt;/Author&gt;&lt;Year&gt;2020&lt;/Year&gt;&lt;RecNum&gt;5153&lt;/RecNum&gt;&lt;DisplayText&gt;(Chuah, Kamaruddin, &amp;amp; Singh, 2020)&lt;/DisplayText&gt;&lt;record&gt;&lt;rec-number&gt;5153&lt;/rec-number&gt;&lt;foreign-keys&gt;&lt;key app="EN" db-id="900edwzvlz5zfoeradsxtdxf2swapvrr2ddd" timestamp="1691126707"&gt;5153&lt;/key&gt;&lt;/foreign-keys&gt;&lt;ref-type name="Journal Article"&gt;17&lt;/ref-type&gt;&lt;contributors&gt;&lt;authors&gt;&lt;author&gt;Chuah, Soo-Cheng&lt;/author&gt;&lt;author&gt;Kamaruddin, Juliana Noor&lt;/author&gt;&lt;author&gt;Singh, JS Keshminder&lt;/author&gt;&lt;/authors&gt;&lt;/contributors&gt;&lt;titles&gt;&lt;title&gt;Factors affecting financial management behaviour among university students&lt;/title&gt;&lt;secondary-title&gt;Malaysian Journal of Consumer and Family Economics&lt;/secondary-title&gt;&lt;/titles&gt;&lt;periodical&gt;&lt;full-title&gt;Malaysian Journal of Consumer and Family Economics&lt;/full-title&gt;&lt;/periodical&gt;&lt;pages&gt;154-174&lt;/pages&gt;&lt;volume&gt;25&lt;/volume&gt;&lt;dates&gt;&lt;year&gt;2020&lt;/year&gt;&lt;/dates&gt;&lt;urls&gt;&lt;/urls&gt;&lt;/record&gt;&lt;/Cite&gt;&lt;/EndNote&gt;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(Chuah, Kamaruddin, &amp; Singh, 2020)</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One of a person’s main objectives is to own a home. Previous studies reported that long-term investment is another important consideration for UK home owners when deciding on their current primary residents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&lt;EndNote&gt;&lt;Cite&gt;&lt;Author&gt;Husain&lt;/Author&gt;&lt;Year&gt;2021&lt;/Year&gt;&lt;RecNum&gt;5154&lt;/RecNum&gt;&lt;DisplayText&gt;(Husain, Ardhiansyah, &amp;amp; Fathudin, 2021)&lt;/DisplayText&gt;&lt;record&gt;&lt;rec-number&gt;5154&lt;/rec-number&gt;&lt;foreign-keys&gt;&lt;key app="EN" db-id="900edwzvlz5zfoeradsxtdxf2swapvrr2ddd" timestamp="1691126770"&gt;5154&lt;/key&gt;&lt;/foreign-keys&gt;&lt;ref-type name="Journal Article"&gt;17&lt;/ref-type&gt;&lt;contributors&gt;&lt;authors&gt;&lt;author&gt;Husain, T&lt;/author&gt;&lt;author&gt;Ardhiansyah, Maulana&lt;/author&gt;&lt;author&gt;Fathudin, Dedin&lt;/author&gt;&lt;/authors&gt;&lt;/contributors&gt;&lt;titles&gt;&lt;title&gt;Confirmatory factor analysis: Model testing of financial ratio&amp;apos;s with decision support systems approach&lt;/title&gt;&lt;secondary-title&gt;International Journal of Advances in Applied Sciences (IJAAS)&lt;/secondary-title&gt;&lt;/titles&gt;&lt;periodical&gt;&lt;full-title&gt;International Journal of Advances in Applied Sciences (IJAAS)&lt;/full-title&gt;&lt;/periodical&gt;&lt;pages&gt;115-121&lt;/pages&gt;&lt;volume&gt;10&lt;/volume&gt;&lt;number&gt;2&lt;/number&gt;&lt;dates&gt;&lt;year&gt;2021&lt;/year&gt;&lt;/dates&gt;&lt;urls&gt;&lt;/urls&gt;&lt;/record&gt;&lt;/Cite&gt;&lt;/EndNote&gt;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(Husain, Ardhiansyah, &amp; Fathudin, 2021)</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In other words, purchasing a home serve both a consumption and an investment purpose. Specifically, the steady rise in property prices has been a source of concern among Hyderabad residents. </w:t>
      </w:r>
    </w:p>
    <w:p w:rsidR="00DE5BBE" w:rsidRPr="00DE5BBE" w:rsidRDefault="00DE5BBE" w:rsidP="00052445">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Hypothesis Development</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Environmental factor, financial factor, housing preference</w:t>
      </w:r>
    </w:p>
    <w:p w:rsidR="00DE5BBE" w:rsidRPr="00DE5BBE" w:rsidRDefault="00DE5BBE" w:rsidP="00DE5BBE">
      <w:pPr>
        <w:spacing w:line="240" w:lineRule="auto"/>
        <w:jc w:val="both"/>
        <w:rPr>
          <w:rFonts w:ascii="Times New Roman" w:hAnsi="Times New Roman" w:cs="Times New Roman"/>
          <w:bCs/>
          <w:sz w:val="24"/>
          <w:szCs w:val="24"/>
        </w:rPr>
      </w:pPr>
      <w:r w:rsidRPr="00DE5BBE">
        <w:rPr>
          <w:rFonts w:ascii="Times New Roman" w:hAnsi="Times New Roman" w:cs="Times New Roman"/>
          <w:bCs/>
          <w:sz w:val="24"/>
          <w:szCs w:val="24"/>
        </w:rPr>
        <w:t xml:space="preserve">Environmental factor is the primary factor influencing residents’ decisions in Hyderabad to live in gated communities. Urban residents are becoming more focus on environmental issues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&lt;EndNote&gt;&lt;Cite&gt;&lt;Author&gt;Chen&lt;/Author&gt;&lt;Year&gt;2020&lt;/Year&gt;&lt;RecNum&gt;5161&lt;/RecNum&gt;&lt;DisplayText&gt;(Y. Chen, Yue, &amp;amp; La Rosa, 2020)&lt;/DisplayText&gt;&lt;record&gt;&lt;rec-number&gt;5161&lt;/rec-number&gt;&lt;foreign-keys&gt;&lt;key app="EN" db-id="900edwzvlz5zfoeradsxtdxf2swapvrr2ddd" timestamp="1691130079"&gt;5161&lt;/key&gt;&lt;/foreign-keys&gt;&lt;ref-type name="Journal Article"&gt;17&lt;/ref-type&gt;&lt;contributors&gt;&lt;authors&gt;&lt;author&gt;Chen, Yang&lt;/author&gt;&lt;author&gt;Yue, Wenze&lt;/author&gt;&lt;author&gt;La Rosa, Daniele&lt;/author&gt;&lt;/authors&gt;&lt;/contributors&gt;&lt;titles&gt;&lt;title&gt;Which communities have better accessibility to green space? An investigation into environmental inequality using big data&lt;/title&gt;&lt;secondary-title&gt;Landscape and Urban Planning&lt;/secondary-title&gt;&lt;/titles&gt;&lt;periodical&gt;&lt;full-title&gt;Landscape and Urban Planning&lt;/full-title&gt;&lt;/periodical&gt;&lt;pages&gt;103919&lt;/pages&gt;&lt;volume&gt;204&lt;/volume&gt;&lt;dates&gt;&lt;year&gt;2020&lt;/year&gt;&lt;/dates&gt;&lt;isbn&gt;0169-2046&lt;/isbn&gt;&lt;urls&gt;&lt;/urls&gt;&lt;/record&gt;&lt;/Cite&gt;&lt;/EndNote&gt;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(Y. Chen, Yue, &amp; La Rosa, 2020)</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As a result, homebuyers look for a location that provides better environment for their lives. Compared to other housing developments, gated communities have better environment measures. For example, fences, guard services, safety and security systems, intercom systems and security control at the main entrance are some of the common safety features found in gated communities. In addition to providing the residents with a sense of physical security and protection fences and walls also give them a sense of privacy. Crime can be reduced in gated communities. </w:t>
      </w:r>
    </w:p>
    <w:p w:rsidR="00DE5BBE" w:rsidRPr="00DE5BBE" w:rsidRDefault="00DE5BBE" w:rsidP="00DE5BBE">
      <w:pPr>
        <w:spacing w:line="240" w:lineRule="auto"/>
        <w:jc w:val="both"/>
        <w:rPr>
          <w:rFonts w:ascii="Times New Roman" w:hAnsi="Times New Roman" w:cs="Times New Roman"/>
          <w:bCs/>
          <w:sz w:val="24"/>
          <w:szCs w:val="24"/>
        </w:rPr>
      </w:pPr>
      <w:r w:rsidRPr="00DE5BBE">
        <w:rPr>
          <w:rFonts w:ascii="Times New Roman" w:hAnsi="Times New Roman" w:cs="Times New Roman"/>
          <w:bCs/>
          <w:sz w:val="24"/>
          <w:szCs w:val="24"/>
        </w:rPr>
        <w:t xml:space="preserve">Homebuyers typically take into account a number of factors when buying a residential property in a gated community, such as the services offered, the size of the living space and the neighborhood surroundings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&lt;EndNote&gt;&lt;Cite&gt;&lt;Author&gt;Zambrano-Monserrate&lt;/Author&gt;&lt;Year&gt;2019&lt;/Year&gt;&lt;RecNum&gt;5162&lt;/RecNum&gt;&lt;DisplayText&gt;(Zambrano-Monserrate &amp;amp; Ruano, 2019)&lt;/DisplayText&gt;&lt;record&gt;&lt;rec-number&gt;5162&lt;/rec-number&gt;&lt;foreign-keys&gt;&lt;key app="EN" db-id="900edwzvlz5zfoeradsxtdxf2swapvrr2ddd" timestamp="1691130134"&gt;5162&lt;/key&gt;&lt;/foreign-keys&gt;&lt;ref-type name="Journal Article"&gt;17&lt;/ref-type&gt;&lt;contributors&gt;&lt;authors&gt;&lt;author&gt;Zambrano-Monserrate, Manuel A&lt;/author&gt;&lt;author&gt;Ruano, María Alejandra&lt;/author&gt;&lt;/authors&gt;&lt;/contributors&gt;&lt;titles&gt;&lt;title&gt;Does environmental noise affect housing rental prices in developing countries? Evidence from Ecuador&lt;/title&gt;&lt;secondary-title&gt;Land use policy&lt;/secondary-title&gt;&lt;/titles&gt;&lt;periodical&gt;&lt;full-title&gt;Land use policy&lt;/full-title&gt;&lt;/periodical&gt;&lt;pages&gt;104059&lt;/pages&gt;&lt;volume&gt;87&lt;/volume&gt;&lt;dates&gt;&lt;year&gt;2019&lt;/year&gt;&lt;/dates&gt;&lt;isbn&gt;0264-8377&lt;/isbn&gt;&lt;urls&gt;&lt;/urls&gt;&lt;/record&gt;&lt;/Cite&gt;&lt;/EndNote&gt;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(Zambrano-Monserrate &amp; Ruano, 2019)</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It has been discovered that fostering a sense of community and a healthy environment are essential for encouraging a community’s members to grow personally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&lt;EndNote&gt;&lt;Cite&gt;&lt;Author&gt;Affuso&lt;/Author&gt;&lt;Year&gt;2019&lt;/Year&gt;&lt;RecNum&gt;5163&lt;/RecNum&gt;&lt;DisplayText&gt;(Affuso, Caudill, Mixon, &amp;amp; Starnes, 2019)&lt;/DisplayText&gt;&lt;record&gt;&lt;rec-number&gt;5163&lt;/rec-number&gt;&lt;foreign-keys&gt;&lt;key app="EN" db-id="900edwzvlz5zfoeradsxtdxf2swapvrr2ddd" timestamp="1691130164"&gt;5163&lt;/key&gt;&lt;/foreign-keys&gt;&lt;ref-type name="Journal Article"&gt;17&lt;/ref-type&gt;&lt;contributors&gt;&lt;authors&gt;&lt;author&gt;Affuso, Ermanno&lt;/author&gt;&lt;author&gt;Caudill, Steven B&lt;/author&gt;&lt;author&gt;Mixon, Franklin G&lt;/author&gt;&lt;author&gt;Starnes, Kevin W&lt;/author&gt;&lt;/authors&gt;&lt;/contributors&gt;&lt;titles&gt;&lt;title&gt;Is airport proximity an amenity or disamenity? An empirical investigation based on house prices&lt;/title&gt;&lt;secondary-title&gt;Land Economics&lt;/secondary-title&gt;&lt;/titles&gt;&lt;periodical&gt;&lt;full-title&gt;Land Economics&lt;/full-title&gt;&lt;/periodical&gt;&lt;pages&gt;391-408&lt;/pages&gt;&lt;volume&gt;95&lt;/volume&gt;&lt;number&gt;3&lt;/number&gt;&lt;dates&gt;&lt;year&gt;2019&lt;/year&gt;&lt;/dates&gt;&lt;isbn&gt;0023-7639&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(Affuso, Caudill, Mixon, &amp; Starnes, 2019)</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The physical layout of the environment structures in gated communities frequently benefits the residents in the long run, even for the generations to come. Homebuyers may be enticed to purchase the relevant homes by the quality of the nearby schools that are close to the residential homes in the gated community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&lt;EndNote&gt;&lt;Cite&gt;&lt;Author&gt;Kanwal&lt;/Author&gt;&lt;Year&gt;2020&lt;/Year&gt;&lt;RecNum&gt;4327&lt;/RecNum&gt;&lt;DisplayText&gt;(Kanwal, Rasheed, et al., 2020)&lt;/DisplayText&gt;&lt;record&gt;&lt;rec-number&gt;4327&lt;/rec-number&gt;&lt;foreign-keys&gt;&lt;key app="EN" db-id="900edwzvlz5zfoeradsxtdxf2swapvrr2ddd" timestamp="1571722857"&gt;4327&lt;/key&gt;&lt;/foreign-keys&gt;&lt;ref-type name="Journal Article"&gt;17&lt;/ref-type&gt;&lt;contributors&gt;&lt;authors&gt;&lt;author&gt;Kanwal, Shamsa&lt;/author&gt;&lt;author&gt;Rasheed, Muhammad Imran&lt;/author&gt;&lt;author&gt;Pitafi, Abdul Hameed&lt;/author&gt;&lt;author&gt;Pitafi, Adnan&lt;/author&gt;&lt;author&gt;Ren, Minglun&lt;/author&gt;&lt;/authors&gt;&lt;/contributors&gt;&lt;titles&gt;&lt;title&gt;Road and transport infrastructure development and community support for tourism: The role of perceived benefits, and community satisfaction&lt;/title&gt;&lt;secondary-title&gt;Tourism Management&lt;/secondary-title&gt;&lt;/titles&gt;&lt;periodical&gt;&lt;full-title&gt;Tourism Management&lt;/full-title&gt;&lt;/periodical&gt;&lt;pages&gt;104014&lt;/pages&gt;&lt;volume&gt;77&lt;/volume&gt;&lt;dates&gt;&lt;year&gt;2020&lt;/year&gt;&lt;/dates&gt;&lt;isbn&gt;0261-5177&lt;/isbn&gt;&lt;urls&gt;&lt;/urls&gt;&lt;/record&gt;&lt;/Cite&gt;&lt;/EndNote&gt;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(Kanwal, Rasheed, et al., 2020)</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Another crucial factor that needs to be taken into account is how appealing the view is. In a gated community, the physical layout of the environment structure tends to be advantageous to the residents over the long-term, including for any subsequent generations who choose to live there.  Hence the following hypothesis;         </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H</w:t>
      </w:r>
      <w:r>
        <w:rPr>
          <w:rFonts w:ascii="Times New Roman" w:hAnsi="Times New Roman" w:cs="Times New Roman"/>
          <w:b/>
          <w:sz w:val="24"/>
          <w:szCs w:val="24"/>
        </w:rPr>
        <w:t xml:space="preserve">ypothesis </w:t>
      </w:r>
      <w:r w:rsidRPr="00DE5BBE">
        <w:rPr>
          <w:rFonts w:ascii="Times New Roman" w:hAnsi="Times New Roman" w:cs="Times New Roman"/>
          <w:b/>
          <w:sz w:val="24"/>
          <w:szCs w:val="24"/>
        </w:rPr>
        <w:t>1a: Environmental factor is positively related to financial factor.</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H</w:t>
      </w:r>
      <w:r>
        <w:rPr>
          <w:rFonts w:ascii="Times New Roman" w:hAnsi="Times New Roman" w:cs="Times New Roman"/>
          <w:b/>
          <w:sz w:val="24"/>
          <w:szCs w:val="24"/>
        </w:rPr>
        <w:t xml:space="preserve">ypothesis </w:t>
      </w:r>
      <w:r w:rsidRPr="00DE5BBE">
        <w:rPr>
          <w:rFonts w:ascii="Times New Roman" w:hAnsi="Times New Roman" w:cs="Times New Roman"/>
          <w:b/>
          <w:sz w:val="24"/>
          <w:szCs w:val="24"/>
        </w:rPr>
        <w:t>1b: Environmental factor is positively related to housing preference in Hyderabad.</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Property physical factor Property physical factor</w:t>
      </w:r>
    </w:p>
    <w:p w:rsidR="00DE5BBE" w:rsidRPr="00DE5BBE" w:rsidRDefault="00DE5BBE" w:rsidP="00DE5BBE">
      <w:pPr>
        <w:spacing w:line="240" w:lineRule="auto"/>
        <w:jc w:val="both"/>
        <w:rPr>
          <w:rFonts w:ascii="Times New Roman" w:hAnsi="Times New Roman" w:cs="Times New Roman"/>
          <w:bCs/>
          <w:sz w:val="24"/>
          <w:szCs w:val="24"/>
        </w:rPr>
      </w:pPr>
      <w:r w:rsidRPr="00DE5BBE">
        <w:rPr>
          <w:rFonts w:ascii="Times New Roman" w:hAnsi="Times New Roman" w:cs="Times New Roman"/>
          <w:bCs/>
          <w:sz w:val="24"/>
          <w:szCs w:val="24"/>
        </w:rPr>
        <w:lastRenderedPageBreak/>
        <w:t xml:space="preserve">The quality of the property has a significant impact on buyers’ preferences for purchases. The common misconception about gated communities is that modern design and technological advancements increase social segregation and conservatism in a nation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&lt;EndNote&gt;&lt;Cite&gt;&lt;Author&gt;Kim&lt;/Author&gt;&lt;Year&gt;2019&lt;/Year&gt;&lt;RecNum&gt;5164&lt;/RecNum&gt;&lt;DisplayText&gt;(Kim, Lee, Lee, &amp;amp; Choi, 2019)&lt;/DisplayText&gt;&lt;record&gt;&lt;rec-number&gt;5164&lt;/rec-number&gt;&lt;foreign-keys&gt;&lt;key app="EN" db-id="900edwzvlz5zfoeradsxtdxf2swapvrr2ddd" timestamp="1691130224"&gt;5164&lt;/key&gt;&lt;/foreign-keys&gt;&lt;ref-type name="Journal Article"&gt;17&lt;/ref-type&gt;&lt;contributors&gt;&lt;authors&gt;&lt;author&gt;Kim, Hyun-Soo&lt;/author&gt;&lt;author&gt;Lee, Go-Eun&lt;/author&gt;&lt;author&gt;Lee, Jae-Song&lt;/author&gt;&lt;author&gt;Choi, Yeol&lt;/author&gt;&lt;/authors&gt;&lt;/contributors&gt;&lt;titles&gt;&lt;title&gt;Understanding the local impact of urban park plans and park typology on housing price: A case study of the Busan metropolitan region, Korea&lt;/title&gt;&lt;secondary-title&gt;Landscape and Urban Planning&lt;/secondary-title&gt;&lt;/titles&gt;&lt;periodical&gt;&lt;full-title&gt;Landscape and Urban Planning&lt;/full-title&gt;&lt;/periodical&gt;&lt;pages&gt;1-11&lt;/pages&gt;&lt;volume&gt;184&lt;/volume&gt;&lt;dates&gt;&lt;year&gt;2019&lt;/year&gt;&lt;/dates&gt;&lt;isbn&gt;0169-2046&lt;/isbn&gt;&lt;urls&gt;&lt;/urls&gt;&lt;/record&gt;&lt;/Cite&gt;&lt;/EndNote&gt;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(Kim, Lee, Lee, &amp; Choi, 2019)</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It has been discovered that the preferences of residential housing in gated communities and the square footage of homes correlate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&lt;EndNote&gt;&lt;Cite&gt;&lt;Author&gt;Affuso&lt;/Author&gt;&lt;Year&gt;2019&lt;/Year&gt;&lt;RecNum&gt;5165&lt;/RecNum&gt;&lt;DisplayText&gt;(Affuso et al., 2019)&lt;/DisplayText&gt;&lt;record&gt;&lt;rec-number&gt;5165&lt;/rec-number&gt;&lt;foreign-keys&gt;&lt;key app="EN" db-id="900edwzvlz5zfoeradsxtdxf2swapvrr2ddd" timestamp="1691130250"&gt;5165&lt;/key&gt;&lt;/foreign-keys&gt;&lt;ref-type name="Journal Article"&gt;17&lt;/ref-type&gt;&lt;contributors&gt;&lt;authors&gt;&lt;author&gt;Affuso, Ermanno&lt;/author&gt;&lt;author&gt;Caudill, Steven B&lt;/author&gt;&lt;author&gt;Mixon, Franklin G&lt;/author&gt;&lt;author&gt;Starnes, Kevin W&lt;/author&gt;&lt;/authors&gt;&lt;/contributors&gt;&lt;titles&gt;&lt;title&gt;Is airport proximity an amenity or disamenity? An empirical investigation based on house prices&lt;/title&gt;&lt;secondary-title&gt;Land Economics&lt;/secondary-title&gt;&lt;/titles&gt;&lt;periodical&gt;&lt;full-title&gt;Land Economics&lt;/full-title&gt;&lt;/periodical&gt;&lt;pages&gt;391-408&lt;/pages&gt;&lt;volume&gt;95&lt;/volume&gt;&lt;number&gt;3&lt;/number&gt;&lt;dates&gt;&lt;year&gt;2019&lt;/year&gt;&lt;/dates&gt;&lt;isbn&gt;0023-7639&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(Affuso et al., 2019)</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Regardless of where the gated residential homes are located, a gated community with a generous allocation of open space can promote neighborhood cohesion. When buying the comparable home, buyers take into account the size, design and construction of “green housing” as well as the amount of management fees charged. Additionally, it has been discovered that in affluent areas, the neighborhood was more significant than the neighbors because residents are more likely to interact socially with one another by joining different social gatherings in gated communities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&lt;EndNote&gt;&lt;Cite&gt;&lt;Author&gt;Li&lt;/Author&gt;&lt;Year&gt;2021&lt;/Year&gt;&lt;RecNum&gt;5166&lt;/RecNum&gt;&lt;DisplayText&gt;(B. Li, Peng, He, Wang, &amp;amp; Feng, 2021)&lt;/DisplayText&gt;&lt;record&gt;&lt;rec-number&gt;5166&lt;/rec-number&gt;&lt;foreign-keys&gt;&lt;key app="EN" db-id="900edwzvlz5zfoeradsxtdxf2swapvrr2ddd" timestamp="1691130285"&gt;5166&lt;/key&gt;&lt;/foreign-keys&gt;&lt;ref-type name="Journal Article"&gt;17&lt;/ref-type&gt;&lt;contributors&gt;&lt;authors&gt;&lt;author&gt;Li, Bo&lt;/author&gt;&lt;author&gt;Peng, You&lt;/author&gt;&lt;author&gt;He, He&lt;/author&gt;&lt;author&gt;Wang, Mingshu&lt;/author&gt;&lt;author&gt;Feng, Tao&lt;/author&gt;&lt;/authors&gt;&lt;/contributors&gt;&lt;titles&gt;&lt;title&gt;Built environment and early infection of COVID-19 in urban districts: A case study of Huangzhou&lt;/title&gt;&lt;secondary-title&gt;Sustainable cities and society&lt;/secondary-title&gt;&lt;/titles&gt;&lt;periodical&gt;&lt;full-title&gt;Sustainable Cities and Society&lt;/full-title&gt;&lt;/periodical&gt;&lt;pages&gt;102685&lt;/pages&gt;&lt;volume&gt;66&lt;/volume&gt;&lt;dates&gt;&lt;year&gt;2021&lt;/year&gt;&lt;/dates&gt;&lt;isbn&gt;2210-6707&lt;/isbn&gt;&lt;urls&gt;&lt;/urls&gt;&lt;/record&gt;&lt;/Cite&gt;&lt;/EndNote&gt;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(B. Li, Peng, He, Wang, &amp; Feng, 2021)</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The type of residential property a buyer prefers in a gated community is heavily influenced by that quality. Hence the hypothesis has been created.       </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H</w:t>
      </w:r>
      <w:r>
        <w:rPr>
          <w:rFonts w:ascii="Times New Roman" w:hAnsi="Times New Roman" w:cs="Times New Roman"/>
          <w:b/>
          <w:sz w:val="24"/>
          <w:szCs w:val="24"/>
        </w:rPr>
        <w:t xml:space="preserve">ypothesis </w:t>
      </w:r>
      <w:r w:rsidRPr="00DE5BBE">
        <w:rPr>
          <w:rFonts w:ascii="Times New Roman" w:hAnsi="Times New Roman" w:cs="Times New Roman"/>
          <w:b/>
          <w:sz w:val="24"/>
          <w:szCs w:val="24"/>
        </w:rPr>
        <w:t>1c: Property physical factor is positively related to financial factor.</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H</w:t>
      </w:r>
      <w:r>
        <w:rPr>
          <w:rFonts w:ascii="Times New Roman" w:hAnsi="Times New Roman" w:cs="Times New Roman"/>
          <w:b/>
          <w:sz w:val="24"/>
          <w:szCs w:val="24"/>
        </w:rPr>
        <w:t xml:space="preserve">ypothesis </w:t>
      </w:r>
      <w:r w:rsidRPr="00DE5BBE">
        <w:rPr>
          <w:rFonts w:ascii="Times New Roman" w:hAnsi="Times New Roman" w:cs="Times New Roman"/>
          <w:b/>
          <w:sz w:val="24"/>
          <w:szCs w:val="24"/>
        </w:rPr>
        <w:t>1d: Property physical factor is positively related to housing preference in Hyderabad.</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Distance factor, financial factor, housing preference</w:t>
      </w:r>
    </w:p>
    <w:p w:rsidR="00DE5BBE" w:rsidRPr="00DE5BBE" w:rsidRDefault="00DE5BBE" w:rsidP="00DE5BBE">
      <w:pPr>
        <w:spacing w:line="240" w:lineRule="auto"/>
        <w:jc w:val="both"/>
        <w:rPr>
          <w:rFonts w:ascii="Times New Roman" w:hAnsi="Times New Roman" w:cs="Times New Roman"/>
          <w:sz w:val="24"/>
          <w:szCs w:val="24"/>
        </w:rPr>
      </w:pPr>
      <w:r w:rsidRPr="00DE5BBE">
        <w:rPr>
          <w:rFonts w:ascii="Times New Roman" w:hAnsi="Times New Roman" w:cs="Times New Roman"/>
          <w:sz w:val="24"/>
          <w:szCs w:val="24"/>
        </w:rPr>
        <w:t xml:space="preserve">The distance of a residential property is another key factor that can affect the homebuyers’ housing preferences in Hyderabad. The more attractive location of a residential project, the larger the earnings that is returned to the developer </w:t>
      </w:r>
      <w:r w:rsidRPr="00DE5BBE">
        <w:rPr>
          <w:rFonts w:ascii="Times New Roman" w:hAnsi="Times New Roman" w:cs="Times New Roman"/>
          <w:sz w:val="24"/>
          <w:szCs w:val="24"/>
        </w:rPr>
        <w:fldChar w:fldCharType="begin"/>
      </w:r>
      <w:r w:rsidRPr="00DE5BBE">
        <w:rPr>
          <w:rFonts w:ascii="Times New Roman" w:hAnsi="Times New Roman" w:cs="Times New Roman"/>
          <w:sz w:val="24"/>
          <w:szCs w:val="24"/>
        </w:rPr>
        <w:instrText xml:space="preserve"> ADDIN EN.CITE &lt;EndNote&gt;&lt;Cite&gt;&lt;Author&gt;Chen&lt;/Author&gt;&lt;Year&gt;2020&lt;/Year&gt;&lt;RecNum&gt;5167&lt;/RecNum&gt;&lt;DisplayText&gt;(C.-f. Chen, de Rubens, Noel, Kester, &amp;amp; Sovacool, 2020)&lt;/DisplayText&gt;&lt;record&gt;&lt;rec-number&gt;5167&lt;/rec-number&gt;&lt;foreign-keys&gt;&lt;key app="EN" db-id="900edwzvlz5zfoeradsxtdxf2swapvrr2ddd" timestamp="1691131032"&gt;5167&lt;/key&gt;&lt;/foreign-keys&gt;&lt;ref-type name="Journal Article"&gt;17&lt;/ref-type&gt;&lt;contributors&gt;&lt;authors&gt;&lt;author&gt;Chen, Chien-fei&lt;/author&gt;&lt;author&gt;de Rubens, Gerardo Zarazua&lt;/author&gt;&lt;author&gt;Noel, Lance&lt;/author&gt;&lt;author&gt;Kester, Johannes&lt;/author&gt;&lt;author&gt;Sovacool, Benjamin K&lt;/author&gt;&lt;/authors&gt;&lt;/contributors&gt;&lt;titles&gt;&lt;title&gt;Assessing the socio-demographic, technical, economic and behavioral factors of Nordic electric vehicle adoption and the influence of vehicle-to-grid preferences&lt;/title&gt;&lt;secondary-title&gt;Renewable and Sustainable Energy Reviews&lt;/secondary-title&gt;&lt;/titles&gt;&lt;periodical&gt;&lt;full-title&gt;Renewable and Sustainable Energy Reviews&lt;/full-title&gt;&lt;/periodical&gt;&lt;pages&gt;109692&lt;/pages&gt;&lt;volume&gt;121&lt;/volume&gt;&lt;dates&gt;&lt;year&gt;2020&lt;/year&gt;&lt;/dates&gt;&lt;isbn&gt;1364-0321&lt;/isbn&gt;&lt;urls&gt;&lt;/urls&gt;&lt;/record&gt;&lt;/Cite&gt;&lt;/EndNote&gt;</w:instrText>
      </w:r>
      <w:r w:rsidRPr="00DE5BBE">
        <w:rPr>
          <w:rFonts w:ascii="Times New Roman" w:hAnsi="Times New Roman" w:cs="Times New Roman"/>
          <w:sz w:val="24"/>
          <w:szCs w:val="24"/>
        </w:rPr>
        <w:fldChar w:fldCharType="separate"/>
      </w:r>
      <w:r w:rsidRPr="00DE5BBE">
        <w:rPr>
          <w:rFonts w:ascii="Times New Roman" w:hAnsi="Times New Roman" w:cs="Times New Roman"/>
          <w:sz w:val="24"/>
          <w:szCs w:val="24"/>
        </w:rPr>
        <w:t>(C.-f. Chen, de Rubens, Noel, Kester, &amp; Sovacool, 2020)</w:t>
      </w:r>
      <w:r w:rsidRPr="00DE5BBE">
        <w:rPr>
          <w:rFonts w:ascii="Times New Roman" w:hAnsi="Times New Roman" w:cs="Times New Roman"/>
          <w:sz w:val="24"/>
          <w:szCs w:val="24"/>
        </w:rPr>
        <w:fldChar w:fldCharType="end"/>
      </w:r>
      <w:r w:rsidRPr="00DE5BBE">
        <w:rPr>
          <w:rFonts w:ascii="Times New Roman" w:hAnsi="Times New Roman" w:cs="Times New Roman"/>
          <w:sz w:val="24"/>
          <w:szCs w:val="24"/>
        </w:rPr>
        <w:t xml:space="preserve">. According to research, distance is the most important factor influencing the effectiveness of a housing project </w:t>
      </w:r>
      <w:r w:rsidRPr="00DE5BBE">
        <w:rPr>
          <w:rFonts w:ascii="Times New Roman" w:hAnsi="Times New Roman" w:cs="Times New Roman"/>
          <w:sz w:val="24"/>
          <w:szCs w:val="24"/>
        </w:rPr>
        <w:fldChar w:fldCharType="begin"/>
      </w:r>
      <w:r w:rsidRPr="00DE5BBE">
        <w:rPr>
          <w:rFonts w:ascii="Times New Roman" w:hAnsi="Times New Roman" w:cs="Times New Roman"/>
          <w:sz w:val="24"/>
          <w:szCs w:val="24"/>
        </w:rPr>
        <w:instrText xml:space="preserve"> ADDIN EN.CITE &lt;EndNote&gt;&lt;Cite&gt;&lt;Author&gt;Delventhal&lt;/Author&gt;&lt;Year&gt;2022&lt;/Year&gt;&lt;RecNum&gt;5168&lt;/RecNum&gt;&lt;DisplayText&gt;(Delventhal, Kwon, &amp;amp; Parkhomenko, 2022)&lt;/DisplayText&gt;&lt;record&gt;&lt;rec-number&gt;5168&lt;/rec-number&gt;&lt;foreign-keys&gt;&lt;key app="EN" db-id="900edwzvlz5zfoeradsxtdxf2swapvrr2ddd" timestamp="1691131148"&gt;5168&lt;/key&gt;&lt;/foreign-keys&gt;&lt;ref-type name="Journal Article"&gt;17&lt;/ref-type&gt;&lt;contributors&gt;&lt;authors&gt;&lt;author&gt;Delventhal, Matthew J&lt;/author&gt;&lt;author&gt;Kwon, Eunjee&lt;/author&gt;&lt;author&gt;Parkhomenko, Andrii&lt;/author&gt;&lt;/authors&gt;&lt;/contributors&gt;&lt;titles&gt;&lt;title&gt;JUE Insight: How do cities change when we work from home?&lt;/title&gt;&lt;secondary-title&gt;Journal of Urban Economics&lt;/secondary-title&gt;&lt;/titles&gt;&lt;periodical&gt;&lt;full-title&gt;Journal of Urban Economics&lt;/full-title&gt;&lt;/periodical&gt;&lt;pages&gt;103331&lt;/pages&gt;&lt;volume&gt;127&lt;/volume&gt;&lt;dates&gt;&lt;year&gt;2022&lt;/year&gt;&lt;/dates&gt;&lt;isbn&gt;0094-1190&lt;/isbn&gt;&lt;urls&gt;&lt;/urls&gt;&lt;/record&gt;&lt;/Cite&gt;&lt;/EndNote&gt;</w:instrText>
      </w:r>
      <w:r w:rsidRPr="00DE5BBE">
        <w:rPr>
          <w:rFonts w:ascii="Times New Roman" w:hAnsi="Times New Roman" w:cs="Times New Roman"/>
          <w:sz w:val="24"/>
          <w:szCs w:val="24"/>
        </w:rPr>
        <w:fldChar w:fldCharType="separate"/>
      </w:r>
      <w:r w:rsidRPr="00DE5BBE">
        <w:rPr>
          <w:rFonts w:ascii="Times New Roman" w:hAnsi="Times New Roman" w:cs="Times New Roman"/>
          <w:sz w:val="24"/>
          <w:szCs w:val="24"/>
        </w:rPr>
        <w:t>(Delventhal, Kwon, &amp; Parkhomenko, 2022)</w:t>
      </w:r>
      <w:r w:rsidRPr="00DE5BBE">
        <w:rPr>
          <w:rFonts w:ascii="Times New Roman" w:hAnsi="Times New Roman" w:cs="Times New Roman"/>
          <w:sz w:val="24"/>
          <w:szCs w:val="24"/>
        </w:rPr>
        <w:fldChar w:fldCharType="end"/>
      </w:r>
      <w:r w:rsidRPr="00DE5BBE">
        <w:rPr>
          <w:rFonts w:ascii="Times New Roman" w:hAnsi="Times New Roman" w:cs="Times New Roman"/>
          <w:sz w:val="24"/>
          <w:szCs w:val="24"/>
        </w:rPr>
        <w:t xml:space="preserve">. Previous research also reported that primary issue for homebuyers in developing nations is the distance from their employment </w:t>
      </w:r>
      <w:r w:rsidRPr="00DE5BBE">
        <w:rPr>
          <w:rFonts w:ascii="Times New Roman" w:hAnsi="Times New Roman" w:cs="Times New Roman"/>
          <w:sz w:val="24"/>
          <w:szCs w:val="24"/>
        </w:rPr>
        <w:fldChar w:fldCharType="begin"/>
      </w:r>
      <w:r w:rsidRPr="00DE5BBE">
        <w:rPr>
          <w:rFonts w:ascii="Times New Roman" w:hAnsi="Times New Roman" w:cs="Times New Roman"/>
          <w:sz w:val="24"/>
          <w:szCs w:val="24"/>
        </w:rPr>
        <w:instrText xml:space="preserve"> ADDIN EN.CITE &lt;EndNote&gt;&lt;Cite&gt;&lt;Author&gt;Sun&lt;/Author&gt;&lt;Year&gt;2020&lt;/Year&gt;&lt;RecNum&gt;4992&lt;/RecNum&gt;&lt;DisplayText&gt;(Sun, Pitafi, Ghani, &amp;amp; Islam, 2020)&lt;/DisplayText&gt;&lt;record&gt;&lt;rec-number&gt;4992&lt;/rec-number&gt;&lt;foreign-keys&gt;&lt;key app="EN" db-id="900edwzvlz5zfoeradsxtdxf2swapvrr2ddd" timestamp="1643013369"&gt;4992&lt;/key&gt;&lt;/foreign-keys&gt;&lt;ref-type name="Journal Article"&gt;17&lt;/ref-type&gt;&lt;contributors&gt;&lt;authors&gt;&lt;author&gt;Sun, Yunpeng&lt;/author&gt;&lt;author&gt;Pitafi, Abdul Hameed&lt;/author&gt;&lt;author&gt;Ghani, Usman&lt;/author&gt;&lt;author&gt;Islam, Tahir&lt;/author&gt;&lt;/authors&gt;&lt;/contributors&gt;&lt;titles&gt;&lt;title&gt;Social-cultural impacts of China-Pakistan Economic Corridor on the well-being of local community&lt;/title&gt;&lt;secondary-title&gt;Journal of Transport and Land Use&lt;/secondary-title&gt;&lt;/titles&gt;&lt;periodical&gt;&lt;full-title&gt;Journal of Transport and Land Use&lt;/full-title&gt;&lt;/periodical&gt;&lt;pages&gt;605-624&lt;/pages&gt;&lt;volume&gt;13&lt;/volume&gt;&lt;number&gt;1&lt;/number&gt;&lt;dates&gt;&lt;year&gt;2020&lt;/year&gt;&lt;/dates&gt;&lt;urls&gt;&lt;/urls&gt;&lt;/record&gt;&lt;/Cite&gt;&lt;/EndNote&gt;</w:instrText>
      </w:r>
      <w:r w:rsidRPr="00DE5BBE">
        <w:rPr>
          <w:rFonts w:ascii="Times New Roman" w:hAnsi="Times New Roman" w:cs="Times New Roman"/>
          <w:sz w:val="24"/>
          <w:szCs w:val="24"/>
        </w:rPr>
        <w:fldChar w:fldCharType="separate"/>
      </w:r>
      <w:r w:rsidRPr="00DE5BBE">
        <w:rPr>
          <w:rFonts w:ascii="Times New Roman" w:hAnsi="Times New Roman" w:cs="Times New Roman"/>
          <w:sz w:val="24"/>
          <w:szCs w:val="24"/>
        </w:rPr>
        <w:t>(Sun, Pitafi, Ghani, &amp; Islam, 2020)</w:t>
      </w:r>
      <w:r w:rsidRPr="00DE5BBE">
        <w:rPr>
          <w:rFonts w:ascii="Times New Roman" w:hAnsi="Times New Roman" w:cs="Times New Roman"/>
          <w:sz w:val="24"/>
          <w:szCs w:val="24"/>
        </w:rPr>
        <w:fldChar w:fldCharType="end"/>
      </w:r>
      <w:r w:rsidRPr="00DE5BBE">
        <w:rPr>
          <w:rFonts w:ascii="Times New Roman" w:hAnsi="Times New Roman" w:cs="Times New Roman"/>
          <w:sz w:val="24"/>
          <w:szCs w:val="24"/>
        </w:rPr>
        <w:t xml:space="preserve">. On the basis of above discussion, this study proposes the following hypothesis. </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H</w:t>
      </w:r>
      <w:r>
        <w:rPr>
          <w:rFonts w:ascii="Times New Roman" w:hAnsi="Times New Roman" w:cs="Times New Roman"/>
          <w:b/>
          <w:sz w:val="24"/>
          <w:szCs w:val="24"/>
        </w:rPr>
        <w:t xml:space="preserve">ypothesis </w:t>
      </w:r>
      <w:r w:rsidRPr="00DE5BBE">
        <w:rPr>
          <w:rFonts w:ascii="Times New Roman" w:hAnsi="Times New Roman" w:cs="Times New Roman"/>
          <w:b/>
          <w:sz w:val="24"/>
          <w:szCs w:val="24"/>
        </w:rPr>
        <w:t>1e: Distance factor is positively related to financial factor.</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H</w:t>
      </w:r>
      <w:r>
        <w:rPr>
          <w:rFonts w:ascii="Times New Roman" w:hAnsi="Times New Roman" w:cs="Times New Roman"/>
          <w:b/>
          <w:sz w:val="24"/>
          <w:szCs w:val="24"/>
        </w:rPr>
        <w:t xml:space="preserve">ypothesis </w:t>
      </w:r>
      <w:r w:rsidRPr="00DE5BBE">
        <w:rPr>
          <w:rFonts w:ascii="Times New Roman" w:hAnsi="Times New Roman" w:cs="Times New Roman"/>
          <w:b/>
          <w:sz w:val="24"/>
          <w:szCs w:val="24"/>
        </w:rPr>
        <w:t>1f: Distance factor is positively related to housing preference in Hyderabad.</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 xml:space="preserve">Facilities, Financial factor, Housing preference </w:t>
      </w:r>
    </w:p>
    <w:p w:rsidR="00DE5BBE" w:rsidRPr="00DE5BBE" w:rsidRDefault="00DE5BBE" w:rsidP="00DE5BBE">
      <w:pPr>
        <w:spacing w:line="240" w:lineRule="auto"/>
        <w:jc w:val="both"/>
        <w:rPr>
          <w:rFonts w:ascii="Times New Roman" w:hAnsi="Times New Roman" w:cs="Times New Roman"/>
          <w:bCs/>
          <w:sz w:val="24"/>
          <w:szCs w:val="24"/>
        </w:rPr>
      </w:pPr>
      <w:r w:rsidRPr="00DE5BBE">
        <w:rPr>
          <w:rFonts w:ascii="Times New Roman" w:hAnsi="Times New Roman" w:cs="Times New Roman"/>
          <w:bCs/>
          <w:sz w:val="24"/>
          <w:szCs w:val="24"/>
        </w:rPr>
        <w:t xml:space="preserve">In addition to the aforementioned considerations, housing facilities are an additional attraction of gated communities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&lt;EndNote&gt;&lt;Cite&gt;&lt;Author&gt;Li&lt;/Author&gt;&lt;Year&gt;2019&lt;/Year&gt;&lt;RecNum&gt;5171&lt;/RecNum&gt;&lt;DisplayText&gt;(H. Li, Wei, Wu, &amp;amp; Tian, 2019)&lt;/DisplayText&gt;&lt;record&gt;&lt;rec-number&gt;5171&lt;/rec-number&gt;&lt;foreign-keys&gt;&lt;key app="EN" db-id="900edwzvlz5zfoeradsxtdxf2swapvrr2ddd" timestamp="1691133807"&gt;5171&lt;/key&gt;&lt;/foreign-keys&gt;&lt;ref-type name="Journal Article"&gt;17&lt;/ref-type&gt;&lt;contributors&gt;&lt;authors&gt;&lt;author&gt;Li, Han&lt;/author&gt;&lt;author&gt;Wei, Yehua Dennis&lt;/author&gt;&lt;author&gt;Wu, Yangyi&lt;/author&gt;&lt;author&gt;Tian, Guang&lt;/author&gt;&lt;/authors&gt;&lt;/contributors&gt;&lt;titles&gt;&lt;title&gt;Analyzing housing prices in Shanghai with open data: Amenity, accessibility and urban structure&lt;/title&gt;&lt;secondary-title&gt;Cities&lt;/secondary-title&gt;&lt;/titles&gt;&lt;periodical&gt;&lt;full-title&gt;Cities&lt;/full-title&gt;&lt;/periodical&gt;&lt;pages&gt;165-179&lt;/pages&gt;&lt;volume&gt;91&lt;/volume&gt;&lt;dates&gt;&lt;year&gt;2019&lt;/year&gt;&lt;/dates&gt;&lt;isbn&gt;0264-2751&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(H. Li, Wei, Wu, &amp; Tian, 2019)</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About 30% of gated community developments in developed nations are living in well-furnished houses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&lt;EndNote&gt;&lt;Cite&gt;&lt;Author&gt;Paramati&lt;/Author&gt;&lt;Year&gt;2019&lt;/Year&gt;&lt;RecNum&gt;5172&lt;/RecNum&gt;&lt;DisplayText&gt;(Paramati &amp;amp; Roca, 2019)&lt;/DisplayText&gt;&lt;record&gt;&lt;rec-number&gt;5172&lt;/rec-number&gt;&lt;foreign-keys&gt;&lt;key app="EN" db-id="900edwzvlz5zfoeradsxtdxf2swapvrr2ddd" timestamp="1691133868"&gt;5172&lt;/key&gt;&lt;/foreign-keys&gt;&lt;ref-type name="Journal Article"&gt;17&lt;/ref-type&gt;&lt;contributors&gt;&lt;authors&gt;&lt;author&gt;Paramati, Sudharshan Reddy&lt;/author&gt;&lt;author&gt;Roca, Eduardo&lt;/author&gt;&lt;/authors&gt;&lt;/contributors&gt;&lt;titles&gt;&lt;title&gt;Does tourism drive house prices in the OECD economies? Evidence from augmented mean group estimator&lt;/title&gt;&lt;secondary-title&gt;Tourism Management&lt;/secondary-title&gt;&lt;/titles&gt;&lt;periodical&gt;&lt;full-title&gt;Tourism Management&lt;/full-title&gt;&lt;/periodical&gt;&lt;pages&gt;392-395&lt;/pages&gt;&lt;volume&gt;74&lt;/volume&gt;&lt;dates&gt;&lt;year&gt;2019&lt;/year&gt;&lt;/dates&gt;&lt;isbn&gt;0261-5177&lt;/isbn&gt;&lt;urls&gt;&lt;/urls&gt;&lt;/record&gt;&lt;/Cite&gt;&lt;/EndNote&gt;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(Paramati &amp; Roca, 2019)</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Facilities was primary factor luring buyers to invest in gated properties in Hyderabad. The three criteria that consumers look for in home are beauty, usefulness, and basic features that might profit from marketing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&lt;EndNote&gt;&lt;Cite&gt;&lt;Author&gt;Nursoleh&lt;/Author&gt;&lt;Year&gt;2022&lt;/Year&gt;&lt;RecNum&gt;5173&lt;/RecNum&gt;&lt;DisplayText&gt;(Nursoleh, 2022)&lt;/DisplayText&gt;&lt;record&gt;&lt;rec-number&gt;5173&lt;/rec-number&gt;&lt;foreign-keys&gt;&lt;key app="EN" db-id="900edwzvlz5zfoeradsxtdxf2swapvrr2ddd" timestamp="1691133903"&gt;5173&lt;/key&gt;&lt;/foreign-keys&gt;&lt;ref-type name="Journal Article"&gt;17&lt;/ref-type&gt;&lt;contributors&gt;&lt;authors&gt;&lt;author&gt;Nursoleh, Nursoleh&lt;/author&gt;&lt;/authors&gt;&lt;/contributors&gt;&lt;titles&gt;&lt;title&gt;Location Analysis of Interest in Buying Housing in South Tangerang City&lt;/title&gt;&lt;secondary-title&gt;AKADEMIK: Jurnal Mahasiswa Ekonomi &amp;amp; Bisnis&lt;/secondary-title&gt;&lt;/titles&gt;&lt;periodical&gt;&lt;full-title&gt;AKADEMIK: Jurnal Mahasiswa Ekonomi &amp;amp; Bisnis&lt;/full-title&gt;&lt;/periodical&gt;&lt;pages&gt;35-42&lt;/pages&gt;&lt;volume&gt;2&lt;/volume&gt;&lt;number&gt;1&lt;/number&gt;&lt;dates&gt;&lt;year&gt;2022&lt;/year&gt;&lt;/dates&gt;&lt;isbn&gt;2774-888X&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(Nursoleh, 2022)</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Over one-third of gated communities are assumed to be retirement communities, with the other one-third being prestige projects for the wealthy and high middle classes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&lt;EndNote&gt;&lt;Cite&gt;&lt;Author&gt;Kim&lt;/Author&gt;&lt;Year&gt;2019&lt;/Year&gt;&lt;RecNum&gt;5174&lt;/RecNum&gt;&lt;DisplayText&gt;(Kanwal, Pitafi, Malik, Khan, &amp;amp; Rashid, 2020; Kim et al., 2019)&lt;/DisplayText&gt;&lt;record&gt;&lt;rec-number&gt;5174&lt;/rec-number&gt;&lt;foreign-keys&gt;&lt;key app="EN" db-id="900edwzvlz5zfoeradsxtdxf2swapvrr2ddd" timestamp="1691133935"&gt;5174&lt;/key&gt;&lt;/foreign-keys&gt;&lt;ref-type name="Journal Article"&gt;17&lt;/ref-type&gt;&lt;contributors&gt;&lt;authors&gt;&lt;author&gt;Kim, Hyun-Soo&lt;/author&gt;&lt;author&gt;Lee, Go-Eun&lt;/author&gt;&lt;author&gt;Lee, Jae-Song&lt;/author&gt;&lt;author&gt;Choi, Yeol&lt;/author&gt;&lt;/authors&gt;&lt;/contributors&gt;&lt;titles&gt;&lt;title&gt;Understanding the local impact of urban park plans and park typology on housing price: A case study of the Busan metropolitan region, Korea&lt;/title&gt;&lt;secondary-title&gt;Landscape and Urban Planning&lt;/secondary-title&gt;&lt;/titles&gt;&lt;periodical&gt;&lt;full-title&gt;Landscape and Urban Planning&lt;/full-title&gt;&lt;/periodical&gt;&lt;pages&gt;1-11&lt;/pages&gt;&lt;volume&gt;184&lt;/volume&gt;&lt;dates&gt;&lt;year&gt;2019&lt;/year&gt;&lt;/dates&gt;&lt;isbn&gt;0169-2046&lt;/isbn&gt;&lt;urls&gt;&lt;/urls&gt;&lt;/record&gt;&lt;/Cite&gt;&lt;Cite&gt;&lt;Author&gt;Kanwal&lt;/Author&gt;&lt;Year&gt;2020&lt;/Year&gt;&lt;RecNum&gt;4414&lt;/RecNum&gt;&lt;record&gt;&lt;rec-number&gt;4414&lt;/rec-number&gt;&lt;foreign-keys&gt;&lt;key app="EN" db-id="900edwzvlz5zfoeradsxtdxf2swapvrr2ddd" timestamp="1596781582"&gt;4414&lt;/key&gt;&lt;/foreign-keys&gt;&lt;ref-type name="Journal Article"&gt;17&lt;/ref-type&gt;&lt;contributors&gt;&lt;authors&gt;&lt;author&gt;Kanwal, Shamsa&lt;/author&gt;&lt;author&gt;Pitafi, Abdul Hameed&lt;/author&gt;&lt;author&gt;Malik, Muhammad Yousaf&lt;/author&gt;&lt;author&gt;Khan, Naseer Abbas&lt;/author&gt;&lt;author&gt;Rashid, Rao Muhammad&lt;/author&gt;&lt;/authors&gt;&lt;/contributors&gt;&lt;titles&gt;&lt;title&gt;Local Pakistani Citizens’ Benefits and Attitudes Toward China–Pakistan Economic Corridor Projects&lt;/title&gt;&lt;secondary-title&gt;SAGE Open&lt;/secondary-title&gt;&lt;/titles&gt;&lt;periodical&gt;&lt;full-title&gt;SAGE Open&lt;/full-title&gt;&lt;/periodical&gt;&lt;pages&gt;2158244020942759&lt;/pages&gt;&lt;volume&gt;10&lt;/volume&gt;&lt;number&gt;3&lt;/number&gt;&lt;dates&gt;&lt;year&gt;2020&lt;/year&gt;&lt;/dates&gt;&lt;isbn&gt;2158-2440&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(Kanwal, Pitafi, Malik, Khan, &amp; Rashid, 2020; Kim et al., 2019)</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Some gated communities promote an extensive and prevalent lifestyle to its inhabitants, incorporating a golf course, a social Centre, and a private room </w:t>
      </w:r>
      <w:r w:rsidRPr="00DE5BBE">
        <w:rPr>
          <w:rFonts w:ascii="Times New Roman" w:hAnsi="Times New Roman" w:cs="Times New Roman"/>
          <w:bCs/>
          <w:sz w:val="24"/>
          <w:szCs w:val="24"/>
        </w:rPr>
        <w:fldChar w:fldCharType="begin"/>
      </w:r>
      <w:r w:rsidRPr="00DE5BBE">
        <w:rPr>
          <w:rFonts w:ascii="Times New Roman" w:hAnsi="Times New Roman" w:cs="Times New Roman"/>
          <w:bCs/>
          <w:sz w:val="24"/>
          <w:szCs w:val="24"/>
        </w:rPr>
        <w:instrText xml:space="preserve"> ADDIN EN.CITE &lt;EndNote&gt;&lt;Cite&gt;&lt;Author&gt;Xing&lt;/Author&gt;&lt;Year&gt;2020&lt;/Year&gt;&lt;RecNum&gt;5175&lt;/RecNum&gt;&lt;DisplayText&gt;(Xing, Liu, Wang, Wang, &amp;amp; Liu, 2020)&lt;/DisplayText&gt;&lt;record&gt;&lt;rec-number&gt;5175&lt;/rec-number&gt;&lt;foreign-keys&gt;&lt;key app="EN" db-id="900edwzvlz5zfoeradsxtdxf2swapvrr2ddd" timestamp="1691133994"&gt;5175&lt;/key&gt;&lt;/foreign-keys&gt;&lt;ref-type name="Journal Article"&gt;17&lt;/ref-type&gt;&lt;contributors&gt;&lt;authors&gt;&lt;author&gt;Xing, Lijun&lt;/author&gt;&lt;author&gt;Liu, Yanfang&lt;/author&gt;&lt;author&gt;Wang, Baoshun&lt;/author&gt;&lt;author&gt;Wang, Yiheng&lt;/author&gt;&lt;author&gt;Liu, Haijiang&lt;/author&gt;&lt;/authors&gt;&lt;/contributors&gt;&lt;titles&gt;&lt;title&gt;An environmental justice study on spatial access to parks for youth by using an improved 2SFCA method in Wuhan, China&lt;/title&gt;&lt;secondary-title&gt;Cities&lt;/secondary-title&gt;&lt;/titles&gt;&lt;periodical&gt;&lt;full-title&gt;Cities&lt;/full-title&gt;&lt;/periodical&gt;&lt;pages&gt;102405&lt;/pages&gt;&lt;volume&gt;96&lt;/volume&gt;&lt;dates&gt;&lt;year&gt;2020&lt;/year&gt;&lt;/dates&gt;&lt;isbn&gt;0264-2751&lt;/isbn&gt;&lt;urls&gt;&lt;/urls&gt;&lt;/record&gt;&lt;/Cite&gt;&lt;/EndNote&gt;</w:instrText>
      </w:r>
      <w:r w:rsidRPr="00DE5BBE">
        <w:rPr>
          <w:rFonts w:ascii="Times New Roman" w:hAnsi="Times New Roman" w:cs="Times New Roman"/>
          <w:bCs/>
          <w:sz w:val="24"/>
          <w:szCs w:val="24"/>
        </w:rPr>
        <w:fldChar w:fldCharType="separate"/>
      </w:r>
      <w:r w:rsidRPr="00DE5BBE">
        <w:rPr>
          <w:rFonts w:ascii="Times New Roman" w:hAnsi="Times New Roman" w:cs="Times New Roman"/>
          <w:bCs/>
          <w:sz w:val="24"/>
          <w:szCs w:val="24"/>
        </w:rPr>
        <w:t>(Xing, Liu, Wang, Wang, &amp; Liu, 2020)</w:t>
      </w:r>
      <w:r w:rsidRPr="00DE5BBE">
        <w:rPr>
          <w:rFonts w:ascii="Times New Roman" w:hAnsi="Times New Roman" w:cs="Times New Roman"/>
          <w:sz w:val="24"/>
          <w:szCs w:val="24"/>
        </w:rPr>
        <w:fldChar w:fldCharType="end"/>
      </w:r>
      <w:r w:rsidRPr="00DE5BBE">
        <w:rPr>
          <w:rFonts w:ascii="Times New Roman" w:hAnsi="Times New Roman" w:cs="Times New Roman"/>
          <w:bCs/>
          <w:sz w:val="24"/>
          <w:szCs w:val="24"/>
        </w:rPr>
        <w:t xml:space="preserve">. Most residents recognize that </w:t>
      </w:r>
      <w:r w:rsidRPr="00DE5BBE">
        <w:rPr>
          <w:rFonts w:ascii="Times New Roman" w:hAnsi="Times New Roman" w:cs="Times New Roman"/>
          <w:bCs/>
          <w:sz w:val="24"/>
          <w:szCs w:val="24"/>
        </w:rPr>
        <w:lastRenderedPageBreak/>
        <w:t xml:space="preserve">even with expenses, the degree of privacy and convenience provided is fair and appropriate. Therefore, the following hypothesis.       </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H</w:t>
      </w:r>
      <w:r>
        <w:rPr>
          <w:rFonts w:ascii="Times New Roman" w:hAnsi="Times New Roman" w:cs="Times New Roman"/>
          <w:b/>
          <w:sz w:val="24"/>
          <w:szCs w:val="24"/>
        </w:rPr>
        <w:t xml:space="preserve">ypothesis </w:t>
      </w:r>
      <w:r w:rsidRPr="00DE5BBE">
        <w:rPr>
          <w:rFonts w:ascii="Times New Roman" w:hAnsi="Times New Roman" w:cs="Times New Roman"/>
          <w:b/>
          <w:sz w:val="24"/>
          <w:szCs w:val="24"/>
        </w:rPr>
        <w:t xml:space="preserve">1g: Facilities factor is positively related to financial factor. </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H</w:t>
      </w:r>
      <w:r>
        <w:rPr>
          <w:rFonts w:ascii="Times New Roman" w:hAnsi="Times New Roman" w:cs="Times New Roman"/>
          <w:b/>
          <w:sz w:val="24"/>
          <w:szCs w:val="24"/>
        </w:rPr>
        <w:t xml:space="preserve">ypothesis </w:t>
      </w:r>
      <w:r w:rsidRPr="00DE5BBE">
        <w:rPr>
          <w:rFonts w:ascii="Times New Roman" w:hAnsi="Times New Roman" w:cs="Times New Roman"/>
          <w:b/>
          <w:sz w:val="24"/>
          <w:szCs w:val="24"/>
        </w:rPr>
        <w:t>1h: Facilities factor is positively related to housing preference in Hyderabad.</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Financial factor, housing preference</w:t>
      </w:r>
    </w:p>
    <w:p w:rsidR="00DE5BBE" w:rsidRPr="00DE5BBE" w:rsidRDefault="00DE5BBE" w:rsidP="00DE5BBE">
      <w:pPr>
        <w:spacing w:line="240" w:lineRule="auto"/>
        <w:jc w:val="both"/>
        <w:rPr>
          <w:rFonts w:ascii="Times New Roman" w:hAnsi="Times New Roman" w:cs="Times New Roman"/>
          <w:sz w:val="24"/>
          <w:szCs w:val="24"/>
        </w:rPr>
      </w:pPr>
      <w:r w:rsidRPr="00DE5BBE">
        <w:rPr>
          <w:rFonts w:ascii="Times New Roman" w:hAnsi="Times New Roman" w:cs="Times New Roman"/>
          <w:sz w:val="24"/>
          <w:szCs w:val="24"/>
        </w:rPr>
        <w:t xml:space="preserve">Individual preference for housing ownership is mainly determined by the increase in population and the formation of households amount, the cost of housing </w:t>
      </w:r>
      <w:r w:rsidRPr="00DE5BBE">
        <w:rPr>
          <w:rFonts w:ascii="Times New Roman" w:hAnsi="Times New Roman" w:cs="Times New Roman"/>
          <w:sz w:val="24"/>
          <w:szCs w:val="24"/>
        </w:rPr>
        <w:fldChar w:fldCharType="begin"/>
      </w:r>
      <w:r w:rsidRPr="00DE5BBE">
        <w:rPr>
          <w:rFonts w:ascii="Times New Roman" w:hAnsi="Times New Roman" w:cs="Times New Roman"/>
          <w:sz w:val="24"/>
          <w:szCs w:val="24"/>
        </w:rPr>
        <w:instrText xml:space="preserve"> ADDIN EN.CITE &lt;EndNote&gt;&lt;Cite&gt;&lt;Author&gt;Sung&lt;/Author&gt;&lt;Year&gt;2023&lt;/Year&gt;&lt;RecNum&gt;5176&lt;/RecNum&gt;&lt;DisplayText&gt;(Sung &amp;amp; Ki, 2023)&lt;/DisplayText&gt;&lt;record&gt;&lt;rec-number&gt;5176&lt;/rec-number&gt;&lt;foreign-keys&gt;&lt;key app="EN" db-id="900edwzvlz5zfoeradsxtdxf2swapvrr2ddd" timestamp="1691139367"&gt;5176&lt;/key&gt;&lt;/foreign-keys&gt;&lt;ref-type name="Journal Article"&gt;17&lt;/ref-type&gt;&lt;contributors&gt;&lt;authors&gt;&lt;author&gt;Sung, Minki&lt;/author&gt;&lt;author&gt;Ki, Junghoon&lt;/author&gt;&lt;/authors&gt;&lt;/contributors&gt;&lt;titles&gt;&lt;title&gt;Influence of educational and cultural facilities on apartment prices by size in Seoul: do residents’ preferred facilities influence the housing market?&lt;/title&gt;&lt;secondary-title&gt;Housing Studies&lt;/secondary-title&gt;&lt;/titles&gt;&lt;periodical&gt;&lt;full-title&gt;Housing Studies&lt;/full-title&gt;&lt;/periodical&gt;&lt;pages&gt;814-840&lt;/pages&gt;&lt;volume&gt;38&lt;/volume&gt;&lt;number&gt;5&lt;/number&gt;&lt;dates&gt;&lt;year&gt;2023&lt;/year&gt;&lt;/dates&gt;&lt;isbn&gt;0267-3037&lt;/isbn&gt;&lt;urls&gt;&lt;/urls&gt;&lt;/record&gt;&lt;/Cite&gt;&lt;/EndNote&gt;</w:instrText>
      </w:r>
      <w:r w:rsidRPr="00DE5BBE">
        <w:rPr>
          <w:rFonts w:ascii="Times New Roman" w:hAnsi="Times New Roman" w:cs="Times New Roman"/>
          <w:sz w:val="24"/>
          <w:szCs w:val="24"/>
        </w:rPr>
        <w:fldChar w:fldCharType="separate"/>
      </w:r>
      <w:r w:rsidRPr="00DE5BBE">
        <w:rPr>
          <w:rFonts w:ascii="Times New Roman" w:hAnsi="Times New Roman" w:cs="Times New Roman"/>
          <w:sz w:val="24"/>
          <w:szCs w:val="24"/>
        </w:rPr>
        <w:t>(Sung &amp; Ki, 2023)</w:t>
      </w:r>
      <w:r w:rsidRPr="00DE5BBE">
        <w:rPr>
          <w:rFonts w:ascii="Times New Roman" w:hAnsi="Times New Roman" w:cs="Times New Roman"/>
          <w:sz w:val="24"/>
          <w:szCs w:val="24"/>
        </w:rPr>
        <w:fldChar w:fldCharType="end"/>
      </w:r>
      <w:r w:rsidRPr="00DE5BBE">
        <w:rPr>
          <w:rFonts w:ascii="Times New Roman" w:hAnsi="Times New Roman" w:cs="Times New Roman"/>
          <w:sz w:val="24"/>
          <w:szCs w:val="24"/>
        </w:rPr>
        <w:t xml:space="preserve">, and the increase in income </w:t>
      </w:r>
      <w:r w:rsidRPr="00DE5BBE">
        <w:rPr>
          <w:rFonts w:ascii="Times New Roman" w:hAnsi="Times New Roman" w:cs="Times New Roman"/>
          <w:sz w:val="24"/>
          <w:szCs w:val="24"/>
        </w:rPr>
        <w:fldChar w:fldCharType="begin"/>
      </w:r>
      <w:r w:rsidRPr="00DE5BBE">
        <w:rPr>
          <w:rFonts w:ascii="Times New Roman" w:hAnsi="Times New Roman" w:cs="Times New Roman"/>
          <w:sz w:val="24"/>
          <w:szCs w:val="24"/>
        </w:rPr>
        <w:instrText xml:space="preserve"> ADDIN EN.CITE &lt;EndNote&gt;&lt;Cite&gt;&lt;Author&gt;Kanwal&lt;/Author&gt;&lt;Year&gt;2019&lt;/Year&gt;&lt;RecNum&gt;4198&lt;/RecNum&gt;&lt;DisplayText&gt;(Kanwal, Pitafi, Pitafi, et al., 2019)&lt;/DisplayText&gt;&lt;record&gt;&lt;rec-number&gt;4198&lt;/rec-number&gt;&lt;foreign-keys&gt;&lt;key app="EN" db-id="900edwzvlz5zfoeradsxtdxf2swapvrr2ddd" timestamp="1562117644"&gt;4198&lt;/key&gt;&lt;/foreign-keys&gt;&lt;ref-type name="Journal Article"&gt;17&lt;/ref-type&gt;&lt;contributors&gt;&lt;authors&gt;&lt;author&gt;Kanwal, Shamsa&lt;/author&gt;&lt;author&gt;Pitafi, Abdul Hameed&lt;/author&gt;&lt;author&gt;Pitafi, Adnan&lt;/author&gt;&lt;author&gt;Nadeem, Muhammad Athar&lt;/author&gt;&lt;author&gt;Younis, Amna&lt;/author&gt;&lt;author&gt;Chong, Ren&lt;/author&gt;&lt;/authors&gt;&lt;/contributors&gt;&lt;titles&gt;&lt;title&gt;China–Pakistan Economic Corridor (CPEC) development projects and entrepreneurial potential of locals&lt;/title&gt;&lt;secondary-title&gt;Journal of Public Affairs&lt;/secondary-title&gt;&lt;/titles&gt;&lt;periodical&gt;&lt;full-title&gt;Journal of Public Affairs&lt;/full-title&gt;&lt;/periodical&gt;&lt;pages&gt;e1954&lt;/pages&gt;&lt;volume&gt;19&lt;/volume&gt;&lt;number&gt;2&lt;/number&gt;&lt;dates&gt;&lt;year&gt;2019&lt;/year&gt;&lt;/dates&gt;&lt;isbn&gt;1472-3891&lt;/isbn&gt;&lt;urls&gt;&lt;/urls&gt;&lt;/record&gt;&lt;/Cite&gt;&lt;/EndNote&gt;</w:instrText>
      </w:r>
      <w:r w:rsidRPr="00DE5BBE">
        <w:rPr>
          <w:rFonts w:ascii="Times New Roman" w:hAnsi="Times New Roman" w:cs="Times New Roman"/>
          <w:sz w:val="24"/>
          <w:szCs w:val="24"/>
        </w:rPr>
        <w:fldChar w:fldCharType="separate"/>
      </w:r>
      <w:r w:rsidRPr="00DE5BBE">
        <w:rPr>
          <w:rFonts w:ascii="Times New Roman" w:hAnsi="Times New Roman" w:cs="Times New Roman"/>
          <w:sz w:val="24"/>
          <w:szCs w:val="24"/>
        </w:rPr>
        <w:t>(Kanwal, Pitafi, Pitafi, et al., 2019)</w:t>
      </w:r>
      <w:r w:rsidRPr="00DE5BBE">
        <w:rPr>
          <w:rFonts w:ascii="Times New Roman" w:hAnsi="Times New Roman" w:cs="Times New Roman"/>
          <w:sz w:val="24"/>
          <w:szCs w:val="24"/>
        </w:rPr>
        <w:fldChar w:fldCharType="end"/>
      </w:r>
      <w:r w:rsidRPr="00DE5BBE">
        <w:rPr>
          <w:rFonts w:ascii="Times New Roman" w:hAnsi="Times New Roman" w:cs="Times New Roman"/>
          <w:sz w:val="24"/>
          <w:szCs w:val="24"/>
        </w:rPr>
        <w:t xml:space="preserve">. Particularly, the continuing rise in property prices has been an indicator cause for worry among Hyderabad residents. Hence, on the basis of literature discussion this study posits the following hypothesis:   </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H</w:t>
      </w:r>
      <w:r>
        <w:rPr>
          <w:rFonts w:ascii="Times New Roman" w:hAnsi="Times New Roman" w:cs="Times New Roman"/>
          <w:b/>
          <w:sz w:val="24"/>
          <w:szCs w:val="24"/>
        </w:rPr>
        <w:t xml:space="preserve">ypothesis </w:t>
      </w:r>
      <w:r w:rsidRPr="00DE5BBE">
        <w:rPr>
          <w:rFonts w:ascii="Times New Roman" w:hAnsi="Times New Roman" w:cs="Times New Roman"/>
          <w:b/>
          <w:sz w:val="24"/>
          <w:szCs w:val="24"/>
        </w:rPr>
        <w:t>2: Financial factor is significantly related to housing preference in Hyderabad.</w:t>
      </w:r>
    </w:p>
    <w:p w:rsidR="00DE5BBE" w:rsidRPr="00211282" w:rsidRDefault="00DE5BBE" w:rsidP="00DE5BBE">
      <w:pPr>
        <w:spacing w:before="100" w:beforeAutospacing="1" w:after="0" w:line="240" w:lineRule="auto"/>
        <w:jc w:val="both"/>
        <w:rPr>
          <w:rFonts w:ascii="Times New Roman" w:hAnsi="Times New Roman" w:cs="Times New Roman"/>
          <w:b/>
          <w:bCs/>
          <w:sz w:val="28"/>
          <w:szCs w:val="28"/>
        </w:rPr>
      </w:pPr>
      <w:bookmarkStart w:id="1" w:name="_Hlk28868188"/>
      <w:r>
        <w:rPr>
          <w:rFonts w:ascii="Times New Roman" w:hAnsi="Times New Roman" w:cs="Times New Roman"/>
          <w:b/>
          <w:bCs/>
          <w:sz w:val="28"/>
          <w:szCs w:val="28"/>
        </w:rPr>
        <w:t xml:space="preserve">Data, Variables and </w:t>
      </w:r>
      <w:r w:rsidRPr="00211282">
        <w:rPr>
          <w:rFonts w:ascii="Times New Roman" w:hAnsi="Times New Roman" w:cs="Times New Roman"/>
          <w:b/>
          <w:bCs/>
          <w:sz w:val="28"/>
          <w:szCs w:val="28"/>
        </w:rPr>
        <w:t>Methodology</w:t>
      </w:r>
    </w:p>
    <w:bookmarkEnd w:id="1"/>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Study Area</w:t>
      </w:r>
    </w:p>
    <w:p w:rsidR="00867769" w:rsidRDefault="00DE5BBE" w:rsidP="006A3529">
      <w:pPr>
        <w:spacing w:line="240" w:lineRule="auto"/>
        <w:jc w:val="both"/>
        <w:rPr>
          <w:rFonts w:ascii="Times New Roman" w:hAnsi="Times New Roman" w:cs="Times New Roman"/>
          <w:sz w:val="24"/>
          <w:szCs w:val="24"/>
        </w:rPr>
      </w:pPr>
      <w:r w:rsidRPr="00DE5BBE">
        <w:rPr>
          <w:rFonts w:ascii="Times New Roman" w:hAnsi="Times New Roman" w:cs="Times New Roman"/>
          <w:sz w:val="24"/>
          <w:szCs w:val="24"/>
        </w:rPr>
        <w:t xml:space="preserve">The data for this study has been collected from the residence of Hyderabad. Hyderabad city is the second largest city of the Sindh province. Hyderabad city is the second most urbanized city in Sindh, after Karachi, with 80% of its residents living in urban areas. The population for this study is the residents living in gated and guarded community in Hyderabad Sindh. From this population, a sizeable sample size was drawn to ensure that data collected is sufficient for an objective analysis. Following is the detail of data collection procedures. </w:t>
      </w:r>
      <w:r w:rsidR="00935264">
        <w:rPr>
          <w:rFonts w:ascii="Times New Roman" w:hAnsi="Times New Roman" w:cs="Times New Roman"/>
          <w:sz w:val="24"/>
          <w:szCs w:val="24"/>
        </w:rPr>
        <w:t>We designed the research method of this paper following previous studies conducted in the field of social sciences</w:t>
      </w:r>
      <w:r w:rsidR="006A3529">
        <w:rPr>
          <w:rFonts w:ascii="Times New Roman" w:hAnsi="Times New Roman" w:cs="Times New Roman"/>
          <w:sz w:val="24"/>
          <w:szCs w:val="24"/>
        </w:rPr>
        <w:t>.</w:t>
      </w:r>
    </w:p>
    <w:p w:rsidR="00DE5BBE" w:rsidRPr="00DE5BBE" w:rsidRDefault="00DE5BBE" w:rsidP="00DE5BBE">
      <w:pPr>
        <w:spacing w:line="240" w:lineRule="auto"/>
        <w:jc w:val="both"/>
        <w:rPr>
          <w:rFonts w:ascii="Times New Roman" w:hAnsi="Times New Roman" w:cs="Times New Roman"/>
          <w:b/>
          <w:sz w:val="24"/>
          <w:szCs w:val="24"/>
        </w:rPr>
      </w:pPr>
      <w:r w:rsidRPr="00DE5BBE">
        <w:rPr>
          <w:rFonts w:ascii="Times New Roman" w:hAnsi="Times New Roman" w:cs="Times New Roman"/>
          <w:b/>
          <w:sz w:val="24"/>
          <w:szCs w:val="24"/>
        </w:rPr>
        <w:t>Data Collection Procedures</w:t>
      </w:r>
    </w:p>
    <w:p w:rsidR="00DE5BBE" w:rsidRPr="00DE5BBE" w:rsidRDefault="00DE5BBE" w:rsidP="00DE5BBE">
      <w:pPr>
        <w:spacing w:line="240" w:lineRule="auto"/>
        <w:jc w:val="both"/>
        <w:rPr>
          <w:rFonts w:ascii="Times New Roman" w:hAnsi="Times New Roman" w:cs="Times New Roman"/>
          <w:sz w:val="24"/>
          <w:szCs w:val="24"/>
        </w:rPr>
      </w:pPr>
      <w:r w:rsidRPr="00DE5BBE">
        <w:rPr>
          <w:rFonts w:ascii="Times New Roman" w:hAnsi="Times New Roman" w:cs="Times New Roman"/>
          <w:sz w:val="24"/>
          <w:szCs w:val="24"/>
        </w:rPr>
        <w:t>In order to analyze the proposed hypothesis, we used primary data collected from residence of Hyderabad. We used survey approach as compared to case study and experiment as survey data is mostly preferred in social science research. The author first developed the questionnaire utilizing the methods of previous research and adjusted the content according to the specific purpose of the study. Next, the author invited some relevant professors to make critical reviews and suggestions. After modification, author conducted the pilot study and result was found satisfactory. Final data set did not contain the pilot study samples.</w:t>
      </w:r>
    </w:p>
    <w:p w:rsidR="00DE5BBE" w:rsidRPr="00DE5BBE" w:rsidRDefault="00DE5BBE" w:rsidP="00DE5BBE">
      <w:pPr>
        <w:spacing w:line="240" w:lineRule="auto"/>
        <w:jc w:val="both"/>
        <w:rPr>
          <w:rFonts w:ascii="Times New Roman" w:hAnsi="Times New Roman" w:cs="Times New Roman"/>
          <w:sz w:val="24"/>
          <w:szCs w:val="24"/>
        </w:rPr>
      </w:pPr>
      <w:r w:rsidRPr="00DE5BBE">
        <w:rPr>
          <w:rFonts w:ascii="Times New Roman" w:hAnsi="Times New Roman" w:cs="Times New Roman"/>
          <w:sz w:val="24"/>
          <w:szCs w:val="24"/>
        </w:rPr>
        <w:t xml:space="preserve">The respondents of this was residence of Hyderabad city having different educational backgrounds including undergraduate, graduate/masters, and doctorate. For data collection survey website .i.e. Google forms was employed. To enhance the response rate, the author followed up with potential respondents on Facebook and sent reminder emails after we distributed the surveys. We received 321 responses in four to five weeks. An internet-based version of the survey was created, and respondents were advised to fill out the entire survey. Table 1 reflects the demographic information of samples. </w:t>
      </w:r>
    </w:p>
    <w:p w:rsidR="00DE5BBE" w:rsidRPr="00DE5BBE" w:rsidRDefault="00DE5BBE" w:rsidP="00DE5BBE">
      <w:pPr>
        <w:spacing w:line="240" w:lineRule="auto"/>
        <w:jc w:val="center"/>
        <w:rPr>
          <w:rFonts w:ascii="Times New Roman" w:hAnsi="Times New Roman" w:cs="Times New Roman"/>
          <w:sz w:val="24"/>
          <w:szCs w:val="24"/>
        </w:rPr>
      </w:pPr>
      <w:r w:rsidRPr="00DE5BBE">
        <w:rPr>
          <w:rFonts w:ascii="Times New Roman" w:hAnsi="Times New Roman" w:cs="Times New Roman"/>
          <w:sz w:val="24"/>
          <w:szCs w:val="24"/>
        </w:rPr>
        <w:lastRenderedPageBreak/>
        <w:t>Table 1: Demographic information of the samples</w:t>
      </w:r>
    </w:p>
    <w:tbl>
      <w:tblPr>
        <w:tblStyle w:val="TableGrid1"/>
        <w:tblW w:w="62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1800"/>
      </w:tblGrid>
      <w:tr w:rsidR="00DE5BBE" w:rsidRPr="009563D2" w:rsidTr="00935264">
        <w:trPr>
          <w:jc w:val="center"/>
        </w:trPr>
        <w:tc>
          <w:tcPr>
            <w:tcW w:w="3235" w:type="dxa"/>
            <w:tcBorders>
              <w:top w:val="single" w:sz="12" w:space="0" w:color="auto"/>
              <w:bottom w:val="single" w:sz="12" w:space="0" w:color="auto"/>
            </w:tcBorders>
          </w:tcPr>
          <w:p w:rsidR="00DE5BBE" w:rsidRPr="009563D2" w:rsidRDefault="00DE5BBE" w:rsidP="00935264">
            <w:pPr>
              <w:rPr>
                <w:b/>
              </w:rPr>
            </w:pPr>
          </w:p>
        </w:tc>
        <w:tc>
          <w:tcPr>
            <w:tcW w:w="1260" w:type="dxa"/>
            <w:tcBorders>
              <w:top w:val="single" w:sz="12" w:space="0" w:color="auto"/>
              <w:bottom w:val="single" w:sz="12" w:space="0" w:color="auto"/>
            </w:tcBorders>
          </w:tcPr>
          <w:p w:rsidR="00DE5BBE" w:rsidRPr="009563D2" w:rsidRDefault="00DE5BBE" w:rsidP="00935264">
            <w:pPr>
              <w:jc w:val="center"/>
              <w:rPr>
                <w:b/>
              </w:rPr>
            </w:pPr>
            <w:r w:rsidRPr="009563D2">
              <w:rPr>
                <w:b/>
              </w:rPr>
              <w:t>N</w:t>
            </w:r>
          </w:p>
        </w:tc>
        <w:tc>
          <w:tcPr>
            <w:tcW w:w="1800" w:type="dxa"/>
            <w:tcBorders>
              <w:top w:val="single" w:sz="12" w:space="0" w:color="auto"/>
              <w:bottom w:val="single" w:sz="12" w:space="0" w:color="auto"/>
            </w:tcBorders>
          </w:tcPr>
          <w:p w:rsidR="00DE5BBE" w:rsidRPr="009563D2" w:rsidRDefault="00DE5BBE" w:rsidP="00935264">
            <w:pPr>
              <w:jc w:val="center"/>
              <w:rPr>
                <w:b/>
              </w:rPr>
            </w:pPr>
            <w:r w:rsidRPr="009563D2">
              <w:rPr>
                <w:b/>
              </w:rPr>
              <w:t>Percentage</w:t>
            </w:r>
          </w:p>
        </w:tc>
      </w:tr>
      <w:tr w:rsidR="00DE5BBE" w:rsidRPr="009563D2" w:rsidTr="00935264">
        <w:trPr>
          <w:jc w:val="center"/>
        </w:trPr>
        <w:tc>
          <w:tcPr>
            <w:tcW w:w="3235" w:type="dxa"/>
            <w:tcBorders>
              <w:top w:val="single" w:sz="12" w:space="0" w:color="auto"/>
            </w:tcBorders>
          </w:tcPr>
          <w:p w:rsidR="00DE5BBE" w:rsidRPr="009563D2" w:rsidRDefault="00DE5BBE" w:rsidP="00935264">
            <w:pPr>
              <w:rPr>
                <w:b/>
                <w:sz w:val="18"/>
                <w:szCs w:val="18"/>
              </w:rPr>
            </w:pPr>
            <w:r w:rsidRPr="009563D2">
              <w:rPr>
                <w:b/>
                <w:sz w:val="18"/>
                <w:szCs w:val="18"/>
              </w:rPr>
              <w:t>Gender</w:t>
            </w:r>
          </w:p>
        </w:tc>
        <w:tc>
          <w:tcPr>
            <w:tcW w:w="1260" w:type="dxa"/>
            <w:tcBorders>
              <w:top w:val="single" w:sz="12" w:space="0" w:color="auto"/>
            </w:tcBorders>
          </w:tcPr>
          <w:p w:rsidR="00DE5BBE" w:rsidRPr="009563D2" w:rsidRDefault="00DE5BBE" w:rsidP="00935264">
            <w:pPr>
              <w:jc w:val="center"/>
              <w:rPr>
                <w:b/>
                <w:sz w:val="18"/>
                <w:szCs w:val="18"/>
              </w:rPr>
            </w:pPr>
          </w:p>
        </w:tc>
        <w:tc>
          <w:tcPr>
            <w:tcW w:w="1800" w:type="dxa"/>
            <w:tcBorders>
              <w:top w:val="single" w:sz="12" w:space="0" w:color="auto"/>
            </w:tcBorders>
          </w:tcPr>
          <w:p w:rsidR="00DE5BBE" w:rsidRPr="009563D2" w:rsidRDefault="00DE5BBE" w:rsidP="00935264">
            <w:pPr>
              <w:jc w:val="center"/>
              <w:rPr>
                <w:b/>
                <w:sz w:val="18"/>
                <w:szCs w:val="18"/>
              </w:rPr>
            </w:pPr>
          </w:p>
        </w:tc>
      </w:tr>
      <w:tr w:rsidR="00DE5BBE" w:rsidRPr="009563D2" w:rsidTr="00935264">
        <w:trPr>
          <w:jc w:val="center"/>
        </w:trPr>
        <w:tc>
          <w:tcPr>
            <w:tcW w:w="3235" w:type="dxa"/>
          </w:tcPr>
          <w:p w:rsidR="00DE5BBE" w:rsidRPr="009563D2" w:rsidRDefault="00DE5BBE" w:rsidP="00935264">
            <w:pPr>
              <w:rPr>
                <w:sz w:val="18"/>
                <w:szCs w:val="18"/>
              </w:rPr>
            </w:pPr>
            <w:r w:rsidRPr="009563D2">
              <w:rPr>
                <w:sz w:val="18"/>
                <w:szCs w:val="18"/>
              </w:rPr>
              <w:t>Male</w:t>
            </w:r>
          </w:p>
        </w:tc>
        <w:tc>
          <w:tcPr>
            <w:tcW w:w="1260" w:type="dxa"/>
          </w:tcPr>
          <w:p w:rsidR="00DE5BBE" w:rsidRPr="009563D2" w:rsidRDefault="00DE5BBE" w:rsidP="00935264">
            <w:pPr>
              <w:jc w:val="center"/>
              <w:rPr>
                <w:sz w:val="18"/>
                <w:szCs w:val="18"/>
              </w:rPr>
            </w:pPr>
            <w:r w:rsidRPr="009563D2">
              <w:rPr>
                <w:sz w:val="18"/>
                <w:szCs w:val="18"/>
              </w:rPr>
              <w:t>203</w:t>
            </w:r>
          </w:p>
        </w:tc>
        <w:tc>
          <w:tcPr>
            <w:tcW w:w="1800" w:type="dxa"/>
          </w:tcPr>
          <w:p w:rsidR="00DE5BBE" w:rsidRPr="009563D2" w:rsidRDefault="00DE5BBE" w:rsidP="00935264">
            <w:pPr>
              <w:jc w:val="center"/>
              <w:rPr>
                <w:sz w:val="18"/>
                <w:szCs w:val="18"/>
              </w:rPr>
            </w:pPr>
            <w:r w:rsidRPr="009563D2">
              <w:rPr>
                <w:sz w:val="18"/>
                <w:szCs w:val="18"/>
              </w:rPr>
              <w:t>63.2</w:t>
            </w:r>
          </w:p>
        </w:tc>
      </w:tr>
      <w:tr w:rsidR="00DE5BBE" w:rsidRPr="009563D2" w:rsidTr="00935264">
        <w:trPr>
          <w:jc w:val="center"/>
        </w:trPr>
        <w:tc>
          <w:tcPr>
            <w:tcW w:w="3235" w:type="dxa"/>
          </w:tcPr>
          <w:p w:rsidR="00DE5BBE" w:rsidRPr="009563D2" w:rsidRDefault="00DE5BBE" w:rsidP="00935264">
            <w:pPr>
              <w:rPr>
                <w:sz w:val="18"/>
                <w:szCs w:val="18"/>
              </w:rPr>
            </w:pPr>
            <w:r w:rsidRPr="009563D2">
              <w:rPr>
                <w:sz w:val="18"/>
                <w:szCs w:val="18"/>
              </w:rPr>
              <w:t>Female</w:t>
            </w:r>
          </w:p>
        </w:tc>
        <w:tc>
          <w:tcPr>
            <w:tcW w:w="1260" w:type="dxa"/>
          </w:tcPr>
          <w:p w:rsidR="00DE5BBE" w:rsidRPr="009563D2" w:rsidRDefault="00DE5BBE" w:rsidP="00935264">
            <w:pPr>
              <w:jc w:val="center"/>
              <w:rPr>
                <w:sz w:val="18"/>
                <w:szCs w:val="18"/>
              </w:rPr>
            </w:pPr>
            <w:r w:rsidRPr="009563D2">
              <w:rPr>
                <w:sz w:val="18"/>
                <w:szCs w:val="18"/>
              </w:rPr>
              <w:t>118</w:t>
            </w:r>
          </w:p>
        </w:tc>
        <w:tc>
          <w:tcPr>
            <w:tcW w:w="1800" w:type="dxa"/>
          </w:tcPr>
          <w:p w:rsidR="00DE5BBE" w:rsidRPr="009563D2" w:rsidRDefault="00DE5BBE" w:rsidP="00935264">
            <w:pPr>
              <w:jc w:val="center"/>
              <w:rPr>
                <w:sz w:val="18"/>
                <w:szCs w:val="18"/>
              </w:rPr>
            </w:pPr>
            <w:r w:rsidRPr="009563D2">
              <w:rPr>
                <w:sz w:val="18"/>
                <w:szCs w:val="18"/>
              </w:rPr>
              <w:t>36.8</w:t>
            </w:r>
          </w:p>
        </w:tc>
      </w:tr>
      <w:tr w:rsidR="00DE5BBE" w:rsidRPr="009563D2" w:rsidTr="00935264">
        <w:trPr>
          <w:jc w:val="center"/>
        </w:trPr>
        <w:tc>
          <w:tcPr>
            <w:tcW w:w="3235" w:type="dxa"/>
          </w:tcPr>
          <w:p w:rsidR="00DE5BBE" w:rsidRPr="009563D2" w:rsidRDefault="00DE5BBE" w:rsidP="00935264">
            <w:pPr>
              <w:rPr>
                <w:b/>
                <w:sz w:val="18"/>
                <w:szCs w:val="18"/>
              </w:rPr>
            </w:pPr>
            <w:r w:rsidRPr="009563D2">
              <w:rPr>
                <w:b/>
                <w:sz w:val="18"/>
                <w:szCs w:val="18"/>
              </w:rPr>
              <w:t>Age</w:t>
            </w:r>
          </w:p>
        </w:tc>
        <w:tc>
          <w:tcPr>
            <w:tcW w:w="1260" w:type="dxa"/>
          </w:tcPr>
          <w:p w:rsidR="00DE5BBE" w:rsidRPr="009563D2" w:rsidRDefault="00DE5BBE" w:rsidP="00935264">
            <w:pPr>
              <w:jc w:val="center"/>
              <w:rPr>
                <w:sz w:val="18"/>
                <w:szCs w:val="18"/>
              </w:rPr>
            </w:pPr>
          </w:p>
        </w:tc>
        <w:tc>
          <w:tcPr>
            <w:tcW w:w="1800" w:type="dxa"/>
          </w:tcPr>
          <w:p w:rsidR="00DE5BBE" w:rsidRPr="009563D2" w:rsidRDefault="00DE5BBE" w:rsidP="00935264">
            <w:pPr>
              <w:jc w:val="center"/>
              <w:rPr>
                <w:sz w:val="18"/>
                <w:szCs w:val="18"/>
              </w:rPr>
            </w:pPr>
          </w:p>
        </w:tc>
      </w:tr>
      <w:tr w:rsidR="00DE5BBE" w:rsidRPr="009563D2" w:rsidTr="00935264">
        <w:trPr>
          <w:jc w:val="center"/>
        </w:trPr>
        <w:tc>
          <w:tcPr>
            <w:tcW w:w="3235" w:type="dxa"/>
          </w:tcPr>
          <w:p w:rsidR="00DE5BBE" w:rsidRPr="009563D2" w:rsidRDefault="00DE5BBE" w:rsidP="00935264">
            <w:pPr>
              <w:rPr>
                <w:sz w:val="18"/>
                <w:szCs w:val="18"/>
              </w:rPr>
            </w:pPr>
            <w:r w:rsidRPr="009563D2">
              <w:rPr>
                <w:sz w:val="18"/>
                <w:szCs w:val="18"/>
              </w:rPr>
              <w:t>21-30 years old</w:t>
            </w:r>
          </w:p>
        </w:tc>
        <w:tc>
          <w:tcPr>
            <w:tcW w:w="1260" w:type="dxa"/>
          </w:tcPr>
          <w:p w:rsidR="00DE5BBE" w:rsidRPr="009563D2" w:rsidRDefault="00DE5BBE" w:rsidP="00935264">
            <w:pPr>
              <w:jc w:val="center"/>
              <w:rPr>
                <w:sz w:val="18"/>
                <w:szCs w:val="18"/>
              </w:rPr>
            </w:pPr>
            <w:r w:rsidRPr="009563D2">
              <w:rPr>
                <w:sz w:val="18"/>
                <w:szCs w:val="18"/>
              </w:rPr>
              <w:t>199</w:t>
            </w:r>
          </w:p>
        </w:tc>
        <w:tc>
          <w:tcPr>
            <w:tcW w:w="1800" w:type="dxa"/>
          </w:tcPr>
          <w:p w:rsidR="00DE5BBE" w:rsidRPr="009563D2" w:rsidRDefault="00DE5BBE" w:rsidP="00935264">
            <w:pPr>
              <w:jc w:val="center"/>
              <w:rPr>
                <w:sz w:val="18"/>
                <w:szCs w:val="18"/>
              </w:rPr>
            </w:pPr>
            <w:r w:rsidRPr="009563D2">
              <w:rPr>
                <w:sz w:val="18"/>
                <w:szCs w:val="18"/>
              </w:rPr>
              <w:t>62.0</w:t>
            </w:r>
          </w:p>
        </w:tc>
      </w:tr>
      <w:tr w:rsidR="00DE5BBE" w:rsidRPr="009563D2" w:rsidTr="00935264">
        <w:trPr>
          <w:jc w:val="center"/>
        </w:trPr>
        <w:tc>
          <w:tcPr>
            <w:tcW w:w="3235" w:type="dxa"/>
          </w:tcPr>
          <w:p w:rsidR="00DE5BBE" w:rsidRPr="009563D2" w:rsidRDefault="00DE5BBE" w:rsidP="00935264">
            <w:pPr>
              <w:rPr>
                <w:sz w:val="18"/>
                <w:szCs w:val="18"/>
              </w:rPr>
            </w:pPr>
            <w:r w:rsidRPr="009563D2">
              <w:rPr>
                <w:sz w:val="18"/>
                <w:szCs w:val="18"/>
              </w:rPr>
              <w:t>31-40 years old</w:t>
            </w:r>
          </w:p>
        </w:tc>
        <w:tc>
          <w:tcPr>
            <w:tcW w:w="1260" w:type="dxa"/>
          </w:tcPr>
          <w:p w:rsidR="00DE5BBE" w:rsidRPr="009563D2" w:rsidRDefault="00DE5BBE" w:rsidP="00935264">
            <w:pPr>
              <w:jc w:val="center"/>
              <w:rPr>
                <w:sz w:val="18"/>
                <w:szCs w:val="18"/>
              </w:rPr>
            </w:pPr>
            <w:r w:rsidRPr="009563D2">
              <w:rPr>
                <w:sz w:val="18"/>
                <w:szCs w:val="18"/>
              </w:rPr>
              <w:t>83</w:t>
            </w:r>
          </w:p>
        </w:tc>
        <w:tc>
          <w:tcPr>
            <w:tcW w:w="1800" w:type="dxa"/>
          </w:tcPr>
          <w:p w:rsidR="00DE5BBE" w:rsidRPr="009563D2" w:rsidRDefault="00DE5BBE" w:rsidP="00935264">
            <w:pPr>
              <w:jc w:val="center"/>
              <w:rPr>
                <w:sz w:val="18"/>
                <w:szCs w:val="18"/>
              </w:rPr>
            </w:pPr>
            <w:r w:rsidRPr="009563D2">
              <w:rPr>
                <w:sz w:val="18"/>
                <w:szCs w:val="18"/>
              </w:rPr>
              <w:t>25.9</w:t>
            </w:r>
          </w:p>
        </w:tc>
      </w:tr>
      <w:tr w:rsidR="00DE5BBE" w:rsidRPr="009563D2" w:rsidTr="00935264">
        <w:trPr>
          <w:jc w:val="center"/>
        </w:trPr>
        <w:tc>
          <w:tcPr>
            <w:tcW w:w="3235" w:type="dxa"/>
          </w:tcPr>
          <w:p w:rsidR="00DE5BBE" w:rsidRPr="009563D2" w:rsidRDefault="00DE5BBE" w:rsidP="00935264">
            <w:pPr>
              <w:rPr>
                <w:sz w:val="18"/>
                <w:szCs w:val="18"/>
              </w:rPr>
            </w:pPr>
            <w:r w:rsidRPr="009563D2">
              <w:rPr>
                <w:sz w:val="18"/>
                <w:szCs w:val="18"/>
              </w:rPr>
              <w:t>41-50 years old</w:t>
            </w:r>
          </w:p>
        </w:tc>
        <w:tc>
          <w:tcPr>
            <w:tcW w:w="1260" w:type="dxa"/>
          </w:tcPr>
          <w:p w:rsidR="00DE5BBE" w:rsidRPr="009563D2" w:rsidRDefault="00DE5BBE" w:rsidP="00935264">
            <w:pPr>
              <w:jc w:val="center"/>
              <w:rPr>
                <w:sz w:val="18"/>
                <w:szCs w:val="18"/>
              </w:rPr>
            </w:pPr>
            <w:r w:rsidRPr="009563D2">
              <w:rPr>
                <w:sz w:val="18"/>
                <w:szCs w:val="18"/>
              </w:rPr>
              <w:t>39</w:t>
            </w:r>
          </w:p>
        </w:tc>
        <w:tc>
          <w:tcPr>
            <w:tcW w:w="1800" w:type="dxa"/>
          </w:tcPr>
          <w:p w:rsidR="00DE5BBE" w:rsidRPr="009563D2" w:rsidRDefault="00DE5BBE" w:rsidP="00935264">
            <w:pPr>
              <w:jc w:val="center"/>
              <w:rPr>
                <w:sz w:val="18"/>
                <w:szCs w:val="18"/>
              </w:rPr>
            </w:pPr>
            <w:r w:rsidRPr="009563D2">
              <w:rPr>
                <w:sz w:val="18"/>
                <w:szCs w:val="18"/>
              </w:rPr>
              <w:t>12.1</w:t>
            </w:r>
          </w:p>
        </w:tc>
      </w:tr>
      <w:tr w:rsidR="00DE5BBE" w:rsidRPr="009563D2" w:rsidTr="00935264">
        <w:trPr>
          <w:jc w:val="center"/>
        </w:trPr>
        <w:tc>
          <w:tcPr>
            <w:tcW w:w="3235" w:type="dxa"/>
          </w:tcPr>
          <w:p w:rsidR="00DE5BBE" w:rsidRPr="009563D2" w:rsidRDefault="00DE5BBE" w:rsidP="00935264">
            <w:pPr>
              <w:rPr>
                <w:sz w:val="18"/>
                <w:szCs w:val="18"/>
              </w:rPr>
            </w:pPr>
            <w:r w:rsidRPr="009563D2">
              <w:rPr>
                <w:b/>
                <w:sz w:val="18"/>
                <w:szCs w:val="18"/>
              </w:rPr>
              <w:t>Education</w:t>
            </w:r>
          </w:p>
        </w:tc>
        <w:tc>
          <w:tcPr>
            <w:tcW w:w="1260" w:type="dxa"/>
          </w:tcPr>
          <w:p w:rsidR="00DE5BBE" w:rsidRPr="009563D2" w:rsidRDefault="00DE5BBE" w:rsidP="00935264">
            <w:pPr>
              <w:jc w:val="center"/>
              <w:rPr>
                <w:sz w:val="18"/>
                <w:szCs w:val="18"/>
              </w:rPr>
            </w:pPr>
          </w:p>
        </w:tc>
        <w:tc>
          <w:tcPr>
            <w:tcW w:w="1800" w:type="dxa"/>
          </w:tcPr>
          <w:p w:rsidR="00DE5BBE" w:rsidRPr="009563D2" w:rsidRDefault="00DE5BBE" w:rsidP="00935264">
            <w:pPr>
              <w:jc w:val="center"/>
              <w:rPr>
                <w:sz w:val="18"/>
                <w:szCs w:val="18"/>
              </w:rPr>
            </w:pPr>
          </w:p>
        </w:tc>
      </w:tr>
      <w:tr w:rsidR="00DE5BBE" w:rsidRPr="009563D2" w:rsidTr="00935264">
        <w:trPr>
          <w:jc w:val="center"/>
        </w:trPr>
        <w:tc>
          <w:tcPr>
            <w:tcW w:w="3235" w:type="dxa"/>
          </w:tcPr>
          <w:p w:rsidR="00DE5BBE" w:rsidRPr="009563D2" w:rsidRDefault="00DE5BBE" w:rsidP="00935264">
            <w:pPr>
              <w:rPr>
                <w:sz w:val="18"/>
                <w:szCs w:val="18"/>
              </w:rPr>
            </w:pPr>
            <w:r w:rsidRPr="009563D2">
              <w:rPr>
                <w:color w:val="000000"/>
                <w:sz w:val="18"/>
                <w:szCs w:val="18"/>
              </w:rPr>
              <w:t>Bachelors/Undergraduate</w:t>
            </w:r>
          </w:p>
        </w:tc>
        <w:tc>
          <w:tcPr>
            <w:tcW w:w="1260" w:type="dxa"/>
          </w:tcPr>
          <w:p w:rsidR="00DE5BBE" w:rsidRPr="009563D2" w:rsidRDefault="00DE5BBE" w:rsidP="00935264">
            <w:pPr>
              <w:jc w:val="center"/>
              <w:rPr>
                <w:sz w:val="18"/>
                <w:szCs w:val="18"/>
              </w:rPr>
            </w:pPr>
            <w:r w:rsidRPr="009563D2">
              <w:rPr>
                <w:sz w:val="18"/>
                <w:szCs w:val="18"/>
              </w:rPr>
              <w:t>75</w:t>
            </w:r>
          </w:p>
        </w:tc>
        <w:tc>
          <w:tcPr>
            <w:tcW w:w="1800" w:type="dxa"/>
          </w:tcPr>
          <w:p w:rsidR="00DE5BBE" w:rsidRPr="009563D2" w:rsidRDefault="00DE5BBE" w:rsidP="00935264">
            <w:pPr>
              <w:jc w:val="center"/>
              <w:rPr>
                <w:sz w:val="18"/>
                <w:szCs w:val="18"/>
              </w:rPr>
            </w:pPr>
            <w:r w:rsidRPr="009563D2">
              <w:rPr>
                <w:sz w:val="18"/>
                <w:szCs w:val="18"/>
              </w:rPr>
              <w:t>23.4</w:t>
            </w:r>
          </w:p>
        </w:tc>
      </w:tr>
      <w:tr w:rsidR="00DE5BBE" w:rsidRPr="009563D2" w:rsidTr="00935264">
        <w:trPr>
          <w:jc w:val="center"/>
        </w:trPr>
        <w:tc>
          <w:tcPr>
            <w:tcW w:w="3235" w:type="dxa"/>
          </w:tcPr>
          <w:p w:rsidR="00DE5BBE" w:rsidRPr="009563D2" w:rsidRDefault="00DE5BBE" w:rsidP="00935264">
            <w:pPr>
              <w:rPr>
                <w:sz w:val="18"/>
                <w:szCs w:val="18"/>
              </w:rPr>
            </w:pPr>
            <w:r w:rsidRPr="009563D2">
              <w:rPr>
                <w:color w:val="000000"/>
                <w:sz w:val="18"/>
                <w:szCs w:val="18"/>
              </w:rPr>
              <w:t xml:space="preserve">Masters/Graduate </w:t>
            </w:r>
          </w:p>
        </w:tc>
        <w:tc>
          <w:tcPr>
            <w:tcW w:w="1260" w:type="dxa"/>
          </w:tcPr>
          <w:p w:rsidR="00DE5BBE" w:rsidRPr="009563D2" w:rsidRDefault="00DE5BBE" w:rsidP="00935264">
            <w:pPr>
              <w:jc w:val="center"/>
              <w:rPr>
                <w:sz w:val="18"/>
                <w:szCs w:val="18"/>
              </w:rPr>
            </w:pPr>
            <w:r w:rsidRPr="009563D2">
              <w:rPr>
                <w:sz w:val="18"/>
                <w:szCs w:val="18"/>
              </w:rPr>
              <w:t>196</w:t>
            </w:r>
          </w:p>
        </w:tc>
        <w:tc>
          <w:tcPr>
            <w:tcW w:w="1800" w:type="dxa"/>
          </w:tcPr>
          <w:p w:rsidR="00DE5BBE" w:rsidRPr="009563D2" w:rsidRDefault="00DE5BBE" w:rsidP="00935264">
            <w:pPr>
              <w:jc w:val="center"/>
              <w:rPr>
                <w:sz w:val="18"/>
                <w:szCs w:val="18"/>
              </w:rPr>
            </w:pPr>
            <w:r w:rsidRPr="009563D2">
              <w:rPr>
                <w:sz w:val="18"/>
                <w:szCs w:val="18"/>
              </w:rPr>
              <w:t>61.1</w:t>
            </w:r>
          </w:p>
        </w:tc>
      </w:tr>
      <w:tr w:rsidR="00DE5BBE" w:rsidRPr="009563D2" w:rsidTr="00935264">
        <w:trPr>
          <w:jc w:val="center"/>
        </w:trPr>
        <w:tc>
          <w:tcPr>
            <w:tcW w:w="3235" w:type="dxa"/>
            <w:tcBorders>
              <w:bottom w:val="single" w:sz="12" w:space="0" w:color="auto"/>
            </w:tcBorders>
          </w:tcPr>
          <w:p w:rsidR="00DE5BBE" w:rsidRPr="009563D2" w:rsidRDefault="00DE5BBE" w:rsidP="00935264">
            <w:pPr>
              <w:rPr>
                <w:sz w:val="18"/>
                <w:szCs w:val="18"/>
              </w:rPr>
            </w:pPr>
            <w:r w:rsidRPr="009563D2">
              <w:rPr>
                <w:color w:val="000000"/>
                <w:sz w:val="18"/>
                <w:szCs w:val="18"/>
              </w:rPr>
              <w:t>Doctoral Degree</w:t>
            </w:r>
          </w:p>
        </w:tc>
        <w:tc>
          <w:tcPr>
            <w:tcW w:w="1260" w:type="dxa"/>
            <w:tcBorders>
              <w:bottom w:val="single" w:sz="12" w:space="0" w:color="auto"/>
            </w:tcBorders>
          </w:tcPr>
          <w:p w:rsidR="00DE5BBE" w:rsidRPr="009563D2" w:rsidRDefault="00DE5BBE" w:rsidP="00935264">
            <w:pPr>
              <w:jc w:val="center"/>
              <w:rPr>
                <w:sz w:val="18"/>
                <w:szCs w:val="18"/>
              </w:rPr>
            </w:pPr>
            <w:r w:rsidRPr="009563D2">
              <w:rPr>
                <w:sz w:val="18"/>
                <w:szCs w:val="18"/>
              </w:rPr>
              <w:t>50</w:t>
            </w:r>
          </w:p>
        </w:tc>
        <w:tc>
          <w:tcPr>
            <w:tcW w:w="1800" w:type="dxa"/>
            <w:tcBorders>
              <w:bottom w:val="single" w:sz="12" w:space="0" w:color="auto"/>
            </w:tcBorders>
          </w:tcPr>
          <w:p w:rsidR="00DE5BBE" w:rsidRPr="009563D2" w:rsidRDefault="00DE5BBE" w:rsidP="00935264">
            <w:pPr>
              <w:jc w:val="center"/>
              <w:rPr>
                <w:sz w:val="18"/>
                <w:szCs w:val="18"/>
              </w:rPr>
            </w:pPr>
            <w:r w:rsidRPr="009563D2">
              <w:rPr>
                <w:sz w:val="18"/>
                <w:szCs w:val="18"/>
              </w:rPr>
              <w:t>100</w:t>
            </w:r>
          </w:p>
        </w:tc>
      </w:tr>
    </w:tbl>
    <w:p w:rsidR="00DE5BBE" w:rsidRDefault="00DE5BBE" w:rsidP="00DE5BBE">
      <w:pPr>
        <w:spacing w:line="240" w:lineRule="auto"/>
        <w:rPr>
          <w:rFonts w:ascii="Times New Roman" w:hAnsi="Times New Roman" w:cs="Times New Roman"/>
          <w:b/>
          <w:sz w:val="24"/>
          <w:szCs w:val="24"/>
        </w:rPr>
      </w:pPr>
      <w:r>
        <w:rPr>
          <w:rFonts w:ascii="Times New Roman" w:hAnsi="Times New Roman" w:cs="Times New Roman"/>
          <w:b/>
          <w:sz w:val="24"/>
          <w:szCs w:val="24"/>
        </w:rPr>
        <w:t>Instruments</w:t>
      </w:r>
    </w:p>
    <w:p w:rsidR="00DE5BBE" w:rsidRDefault="00DE5BBE" w:rsidP="00DE5BBE">
      <w:pPr>
        <w:spacing w:line="240" w:lineRule="auto"/>
        <w:jc w:val="both"/>
        <w:rPr>
          <w:rFonts w:ascii="Times New Roman" w:hAnsi="Times New Roman"/>
          <w:bCs/>
          <w:sz w:val="24"/>
          <w:szCs w:val="24"/>
        </w:rPr>
      </w:pPr>
      <w:r w:rsidRPr="00E85A32">
        <w:rPr>
          <w:rFonts w:ascii="Times New Roman" w:hAnsi="Times New Roman"/>
          <w:bCs/>
          <w:sz w:val="24"/>
          <w:szCs w:val="24"/>
        </w:rPr>
        <w:t>The suggested study model has six parameters. The questionnaire's measuring scales were derived from existing research that was widely recognized in their respective disciplines.</w:t>
      </w:r>
      <w:r w:rsidRPr="00E85A32">
        <w:rPr>
          <w:sz w:val="24"/>
          <w:szCs w:val="24"/>
        </w:rPr>
        <w:t xml:space="preserve"> </w:t>
      </w:r>
      <w:r w:rsidRPr="00E85A32">
        <w:rPr>
          <w:rFonts w:ascii="Times New Roman" w:hAnsi="Times New Roman"/>
          <w:bCs/>
          <w:sz w:val="24"/>
          <w:szCs w:val="24"/>
        </w:rPr>
        <w:t>In order to capture preferences, various key factors are grouped together; some of them are environmental, financial, facilities, distance. It has been tried to cover all possible combinations of these attributes.  All the items was measured using 5 point Likert scale instead of 7 point</w:t>
      </w:r>
      <w:r>
        <w:rPr>
          <w:rFonts w:ascii="Times New Roman" w:hAnsi="Times New Roman"/>
          <w:bCs/>
          <w:sz w:val="24"/>
          <w:szCs w:val="24"/>
        </w:rPr>
        <w:t xml:space="preserve"> </w:t>
      </w:r>
      <w:r>
        <w:rPr>
          <w:rFonts w:ascii="Times New Roman" w:hAnsi="Times New Roman"/>
          <w:bCs/>
          <w:sz w:val="24"/>
          <w:szCs w:val="24"/>
        </w:rPr>
        <w:fldChar w:fldCharType="begin"/>
      </w:r>
      <w:r>
        <w:rPr>
          <w:rFonts w:ascii="Times New Roman" w:hAnsi="Times New Roman"/>
          <w:bCs/>
          <w:sz w:val="24"/>
          <w:szCs w:val="24"/>
        </w:rPr>
        <w:instrText xml:space="preserve"> ADDIN EN.CITE &lt;EndNote&gt;&lt;Cite&gt;&lt;Author&gt;Pitafi&lt;/Author&gt;&lt;Year&gt;2020&lt;/Year&gt;&lt;RecNum&gt;4410&lt;/RecNum&gt;&lt;DisplayText&gt;(Pitafi, Khan, Khan, &amp;amp; Ren, 2020)&lt;/DisplayText&gt;&lt;record&gt;&lt;rec-number&gt;4410&lt;/rec-number&gt;&lt;foreign-keys&gt;&lt;key app="EN" db-id="900edwzvlz5zfoeradsxtdxf2swapvrr2ddd" timestamp="1593282837"&gt;4410&lt;/key&gt;&lt;/foreign-keys&gt;&lt;ref-type name="Journal Article"&gt;17&lt;/ref-type&gt;&lt;contributors&gt;&lt;authors&gt;&lt;author&gt;Pitafi, Abdul Hameed&lt;/author&gt;&lt;author&gt;Khan, Ali Nawz&lt;/author&gt;&lt;author&gt;Khan, Naseer Abbas&lt;/author&gt;&lt;author&gt;Ren, Minglun&lt;/author&gt;&lt;/authors&gt;&lt;/contributors&gt;&lt;titles&gt;&lt;title&gt;Using enterprise social media to investigate the effect of workplace conflict on employee creativity&lt;/title&gt;&lt;secondary-title&gt;Telematics and Informatics&lt;/secondary-title&gt;&lt;/titles&gt;&lt;periodical&gt;&lt;full-title&gt;Telematics and Informatics&lt;/full-title&gt;&lt;/periodical&gt;&lt;pages&gt;101451&lt;/pages&gt;&lt;dates&gt;&lt;year&gt;2020&lt;/year&gt;&lt;/dates&gt;&lt;isbn&gt;0736-5853&lt;/isbn&gt;&lt;urls&gt;&lt;/urls&gt;&lt;/record&gt;&lt;/Cite&gt;&lt;/EndNote&gt;</w:instrText>
      </w:r>
      <w:r>
        <w:rPr>
          <w:rFonts w:ascii="Times New Roman" w:hAnsi="Times New Roman"/>
          <w:bCs/>
          <w:sz w:val="24"/>
          <w:szCs w:val="24"/>
        </w:rPr>
        <w:fldChar w:fldCharType="separate"/>
      </w:r>
      <w:r>
        <w:rPr>
          <w:rFonts w:ascii="Times New Roman" w:hAnsi="Times New Roman"/>
          <w:bCs/>
          <w:noProof/>
          <w:sz w:val="24"/>
          <w:szCs w:val="24"/>
        </w:rPr>
        <w:t>(Pitafi, Khan, Khan, &amp; Ren, 2020)</w:t>
      </w:r>
      <w:r>
        <w:rPr>
          <w:rFonts w:ascii="Times New Roman" w:hAnsi="Times New Roman"/>
          <w:bCs/>
          <w:sz w:val="24"/>
          <w:szCs w:val="24"/>
        </w:rPr>
        <w:fldChar w:fldCharType="end"/>
      </w:r>
      <w:r w:rsidRPr="00E85A32">
        <w:rPr>
          <w:rFonts w:ascii="Times New Roman" w:hAnsi="Times New Roman"/>
          <w:bCs/>
          <w:sz w:val="24"/>
          <w:szCs w:val="24"/>
        </w:rPr>
        <w:t>. Previous scholars also has suggested that 5-point and 7-point scale similar findings, as a result author has used 5-point Likert scale in this study</w:t>
      </w:r>
      <w:r>
        <w:rPr>
          <w:rFonts w:ascii="Times New Roman" w:hAnsi="Times New Roman"/>
          <w:bCs/>
          <w:sz w:val="24"/>
          <w:szCs w:val="24"/>
        </w:rPr>
        <w:t xml:space="preserve"> </w:t>
      </w:r>
      <w:r>
        <w:rPr>
          <w:rFonts w:ascii="Times New Roman" w:hAnsi="Times New Roman"/>
          <w:bCs/>
          <w:sz w:val="24"/>
          <w:szCs w:val="24"/>
        </w:rPr>
        <w:fldChar w:fldCharType="begin"/>
      </w:r>
      <w:r>
        <w:rPr>
          <w:rFonts w:ascii="Times New Roman" w:hAnsi="Times New Roman"/>
          <w:bCs/>
          <w:sz w:val="24"/>
          <w:szCs w:val="24"/>
        </w:rPr>
        <w:instrText xml:space="preserve"> ADDIN EN.CITE &lt;EndNote&gt;&lt;Cite&gt;&lt;Author&gt;Younis&lt;/Author&gt;&lt;Year&gt;2020&lt;/Year&gt;&lt;RecNum&gt;4680&lt;/RecNum&gt;&lt;DisplayText&gt;(Younis et al., 2020)&lt;/DisplayText&gt;&lt;record&gt;&lt;rec-number&gt;4680&lt;/rec-number&gt;&lt;foreign-keys&gt;&lt;key app="EN" db-id="900edwzvlz5zfoeradsxtdxf2swapvrr2ddd" timestamp="1613569031"&gt;4680&lt;/key&gt;&lt;/foreign-keys&gt;&lt;ref-type name="Journal Article"&gt;17&lt;/ref-type&gt;&lt;contributors&gt;&lt;authors&gt;&lt;author&gt;Younis, Amna&lt;/author&gt;&lt;author&gt;Xiaobao, Peng&lt;/author&gt;&lt;author&gt;Nadeem, Muhammad Athar&lt;/author&gt;&lt;author&gt;Kanwal, Shamsa&lt;/author&gt;&lt;author&gt;Pitafi, Abdul Hameed&lt;/author&gt;&lt;author&gt;Qiong, Gui&lt;/author&gt;&lt;author&gt;Yuzhen, Duan&lt;/author&gt;&lt;/authors&gt;&lt;/contributors&gt;&lt;titles&gt;&lt;title&gt;Impact of positivity and empathy on social entrepreneurial intention: The moderating role of perceived social support&lt;/title&gt;&lt;secondary-title&gt;Journal of Public Affairs&lt;/secondary-title&gt;&lt;/titles&gt;&lt;periodical&gt;&lt;full-title&gt;Journal of Public Affairs&lt;/full-title&gt;&lt;/periodical&gt;&lt;pages&gt;e2124&lt;/pages&gt;&lt;dates&gt;&lt;year&gt;2020&lt;/year&gt;&lt;/dates&gt;&lt;isbn&gt;1472-3891&lt;/isbn&gt;&lt;urls&gt;&lt;/urls&gt;&lt;/record&gt;&lt;/Cite&gt;&lt;/EndNote&gt;</w:instrText>
      </w:r>
      <w:r>
        <w:rPr>
          <w:rFonts w:ascii="Times New Roman" w:hAnsi="Times New Roman"/>
          <w:bCs/>
          <w:sz w:val="24"/>
          <w:szCs w:val="24"/>
        </w:rPr>
        <w:fldChar w:fldCharType="separate"/>
      </w:r>
      <w:r>
        <w:rPr>
          <w:rFonts w:ascii="Times New Roman" w:hAnsi="Times New Roman"/>
          <w:bCs/>
          <w:noProof/>
          <w:sz w:val="24"/>
          <w:szCs w:val="24"/>
        </w:rPr>
        <w:t>(Younis et al., 2020)</w:t>
      </w:r>
      <w:r>
        <w:rPr>
          <w:rFonts w:ascii="Times New Roman" w:hAnsi="Times New Roman"/>
          <w:bCs/>
          <w:sz w:val="24"/>
          <w:szCs w:val="24"/>
        </w:rPr>
        <w:fldChar w:fldCharType="end"/>
      </w:r>
      <w:r w:rsidRPr="00E85A32">
        <w:rPr>
          <w:rFonts w:ascii="Times New Roman" w:hAnsi="Times New Roman"/>
          <w:bCs/>
          <w:sz w:val="24"/>
          <w:szCs w:val="24"/>
        </w:rPr>
        <w:t>.</w:t>
      </w:r>
      <w:r>
        <w:rPr>
          <w:rFonts w:ascii="Times New Roman" w:hAnsi="Times New Roman"/>
          <w:bCs/>
          <w:sz w:val="24"/>
          <w:szCs w:val="24"/>
        </w:rPr>
        <w:t xml:space="preserve"> The scales of housing preference, environmental, distance, financial, </w:t>
      </w:r>
      <w:r w:rsidRPr="00E85A32">
        <w:rPr>
          <w:rFonts w:ascii="Times New Roman" w:hAnsi="Times New Roman"/>
          <w:bCs/>
          <w:sz w:val="24"/>
          <w:szCs w:val="24"/>
        </w:rPr>
        <w:t xml:space="preserve">faculties, </w:t>
      </w:r>
      <w:r>
        <w:rPr>
          <w:rFonts w:ascii="Times New Roman" w:hAnsi="Times New Roman"/>
          <w:bCs/>
          <w:sz w:val="24"/>
          <w:szCs w:val="24"/>
        </w:rPr>
        <w:t xml:space="preserve">and </w:t>
      </w:r>
      <w:r>
        <w:rPr>
          <w:rFonts w:ascii="Times New Roman" w:hAnsi="Times New Roman" w:cs="Times New Roman"/>
          <w:sz w:val="24"/>
          <w:szCs w:val="24"/>
        </w:rPr>
        <w:t>p</w:t>
      </w:r>
      <w:r w:rsidRPr="00E85A32">
        <w:rPr>
          <w:rFonts w:ascii="Times New Roman" w:hAnsi="Times New Roman" w:cs="Times New Roman"/>
          <w:sz w:val="24"/>
          <w:szCs w:val="24"/>
        </w:rPr>
        <w:t>roperty physical</w:t>
      </w:r>
      <w:r>
        <w:rPr>
          <w:rFonts w:ascii="Times New Roman" w:hAnsi="Times New Roman" w:cs="Times New Roman"/>
          <w:sz w:val="24"/>
          <w:szCs w:val="24"/>
        </w:rPr>
        <w:t>, was adopted from previous studies that are well establish in their respective domain</w:t>
      </w:r>
      <w:r w:rsidRPr="00E85A32">
        <w:rPr>
          <w:rFonts w:ascii="Times New Roman" w:hAnsi="Times New Roman"/>
          <w:bCs/>
          <w:sz w:val="24"/>
          <w:szCs w:val="24"/>
        </w:rPr>
        <w:t>.</w:t>
      </w:r>
      <w:r>
        <w:rPr>
          <w:rFonts w:ascii="Times New Roman" w:hAnsi="Times New Roman"/>
          <w:bCs/>
          <w:sz w:val="24"/>
          <w:szCs w:val="24"/>
        </w:rPr>
        <w:t xml:space="preserve"> The detail of all the items are shown in Appendix A. </w:t>
      </w:r>
      <w:r w:rsidRPr="00E85A32">
        <w:rPr>
          <w:rFonts w:ascii="Times New Roman" w:hAnsi="Times New Roman"/>
          <w:bCs/>
          <w:sz w:val="24"/>
          <w:szCs w:val="24"/>
        </w:rPr>
        <w:t xml:space="preserve"> </w:t>
      </w:r>
    </w:p>
    <w:p w:rsidR="00DE5BBE" w:rsidRDefault="00867769" w:rsidP="00DE5BBE">
      <w:pPr>
        <w:spacing w:line="240" w:lineRule="auto"/>
        <w:rPr>
          <w:rFonts w:ascii="Times New Roman" w:hAnsi="Times New Roman" w:cs="Times New Roman"/>
          <w:b/>
          <w:sz w:val="24"/>
          <w:szCs w:val="24"/>
        </w:rPr>
      </w:pPr>
      <w:r>
        <w:rPr>
          <w:rFonts w:ascii="Times New Roman" w:hAnsi="Times New Roman" w:cs="Times New Roman"/>
          <w:b/>
          <w:sz w:val="24"/>
          <w:szCs w:val="24"/>
        </w:rPr>
        <w:t>Data Analyse</w:t>
      </w:r>
      <w:r w:rsidR="00DE5BBE">
        <w:rPr>
          <w:rFonts w:ascii="Times New Roman" w:hAnsi="Times New Roman" w:cs="Times New Roman"/>
          <w:b/>
          <w:sz w:val="24"/>
          <w:szCs w:val="24"/>
        </w:rPr>
        <w:t>s</w:t>
      </w:r>
    </w:p>
    <w:p w:rsidR="00DE5BBE" w:rsidRDefault="00DE5BBE" w:rsidP="00DE5BBE">
      <w:pPr>
        <w:spacing w:line="240" w:lineRule="auto"/>
        <w:rPr>
          <w:rFonts w:ascii="Times New Roman" w:hAnsi="Times New Roman" w:cs="Times New Roman"/>
          <w:b/>
          <w:sz w:val="24"/>
          <w:szCs w:val="24"/>
        </w:rPr>
      </w:pPr>
      <w:r>
        <w:rPr>
          <w:rFonts w:ascii="Times New Roman" w:hAnsi="Times New Roman" w:cs="Times New Roman"/>
          <w:b/>
          <w:sz w:val="24"/>
          <w:szCs w:val="24"/>
        </w:rPr>
        <w:t>Validity and Reliability</w:t>
      </w:r>
    </w:p>
    <w:p w:rsidR="00DE5BBE" w:rsidRDefault="00DE5BBE" w:rsidP="00DE5BBE">
      <w:pPr>
        <w:spacing w:line="240" w:lineRule="auto"/>
        <w:jc w:val="both"/>
        <w:rPr>
          <w:rFonts w:ascii="Times New Roman" w:hAnsi="Times New Roman" w:cs="Times New Roman"/>
          <w:sz w:val="24"/>
          <w:szCs w:val="24"/>
        </w:rPr>
      </w:pPr>
      <w:r w:rsidRPr="00F17B8A">
        <w:rPr>
          <w:rFonts w:ascii="Times New Roman" w:hAnsi="Times New Roman" w:cs="Times New Roman"/>
          <w:sz w:val="24"/>
          <w:szCs w:val="24"/>
        </w:rPr>
        <w:t>We assessed the validity and reliability of the data</w:t>
      </w:r>
      <w:r>
        <w:rPr>
          <w:rFonts w:ascii="Times New Roman" w:hAnsi="Times New Roman" w:cs="Times New Roman"/>
          <w:sz w:val="24"/>
          <w:szCs w:val="24"/>
        </w:rPr>
        <w:t xml:space="preserve"> using several </w:t>
      </w:r>
      <w:r w:rsidRPr="00F17B8A">
        <w:rPr>
          <w:rFonts w:ascii="Times New Roman" w:hAnsi="Times New Roman" w:cs="Times New Roman"/>
          <w:sz w:val="24"/>
          <w:szCs w:val="24"/>
        </w:rPr>
        <w:t>analysis</w:t>
      </w:r>
      <w:r>
        <w:rPr>
          <w:rFonts w:ascii="Times New Roman" w:hAnsi="Times New Roman" w:cs="Times New Roman"/>
          <w:sz w:val="24"/>
          <w:szCs w:val="24"/>
        </w:rPr>
        <w:t xml:space="preserve"> techniques that included factor loading,</w:t>
      </w:r>
      <w:r w:rsidRPr="00F17B8A">
        <w:rPr>
          <w:rFonts w:ascii="Times New Roman" w:hAnsi="Times New Roman" w:cs="Times New Roman"/>
          <w:sz w:val="24"/>
          <w:szCs w:val="24"/>
        </w:rPr>
        <w:t xml:space="preserve"> </w:t>
      </w:r>
      <w:r w:rsidRPr="00261065">
        <w:rPr>
          <w:rFonts w:ascii="Times New Roman" w:hAnsi="Times New Roman" w:cs="Times New Roman"/>
          <w:sz w:val="24"/>
          <w:szCs w:val="24"/>
        </w:rPr>
        <w:t>Cronbach alpha</w:t>
      </w:r>
      <w:r>
        <w:rPr>
          <w:rFonts w:ascii="Times New Roman" w:hAnsi="Times New Roman" w:cs="Times New Roman"/>
          <w:sz w:val="24"/>
          <w:szCs w:val="24"/>
        </w:rPr>
        <w:t xml:space="preserve"> (CA),</w:t>
      </w:r>
      <w:r w:rsidRPr="00F17B8A">
        <w:rPr>
          <w:rFonts w:ascii="Times New Roman" w:hAnsi="Times New Roman" w:cs="Times New Roman"/>
          <w:sz w:val="24"/>
          <w:szCs w:val="24"/>
        </w:rPr>
        <w:t xml:space="preserve"> </w:t>
      </w:r>
      <w:r w:rsidRPr="00261065">
        <w:rPr>
          <w:rFonts w:ascii="Times New Roman" w:hAnsi="Times New Roman" w:cs="Times New Roman"/>
          <w:sz w:val="24"/>
          <w:szCs w:val="24"/>
        </w:rPr>
        <w:t>composite reliability of constructs</w:t>
      </w:r>
      <w:r>
        <w:rPr>
          <w:rFonts w:ascii="Times New Roman" w:hAnsi="Times New Roman" w:cs="Times New Roman"/>
          <w:sz w:val="24"/>
          <w:szCs w:val="24"/>
        </w:rPr>
        <w:t xml:space="preserve"> (CR)</w:t>
      </w:r>
      <w:r w:rsidRPr="00261065">
        <w:rPr>
          <w:rFonts w:ascii="Times New Roman" w:hAnsi="Times New Roman" w:cs="Times New Roman"/>
          <w:sz w:val="24"/>
          <w:szCs w:val="24"/>
        </w:rPr>
        <w:t>, and average variance extracted (AVE)</w:t>
      </w:r>
      <w:r>
        <w:rPr>
          <w:rFonts w:ascii="Times New Roman" w:hAnsi="Times New Roman" w:cs="Times New Roman"/>
          <w:sz w:val="24"/>
          <w:szCs w:val="24"/>
        </w:rPr>
        <w:t>.</w:t>
      </w:r>
      <w:r w:rsidRPr="00261065">
        <w:rPr>
          <w:rFonts w:ascii="Times New Roman" w:hAnsi="Times New Roman" w:cs="Times New Roman"/>
          <w:sz w:val="24"/>
          <w:szCs w:val="24"/>
        </w:rPr>
        <w:t xml:space="preserve"> </w:t>
      </w:r>
      <w:r w:rsidRPr="00B3773F">
        <w:rPr>
          <w:rFonts w:ascii="Times New Roman" w:hAnsi="Times New Roman" w:cs="Times New Roman"/>
          <w:sz w:val="24"/>
          <w:szCs w:val="24"/>
        </w:rPr>
        <w:t>Table 2 shows that the factor loadings of each item were significantly higher tha</w:t>
      </w:r>
      <w:r>
        <w:rPr>
          <w:rFonts w:ascii="Times New Roman" w:hAnsi="Times New Roman" w:cs="Times New Roman"/>
          <w:sz w:val="24"/>
          <w:szCs w:val="24"/>
        </w:rPr>
        <w:t xml:space="preserve">n the standard value of 0.70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&lt;EndNote&gt;&lt;Cite&gt;&lt;Author&gt;Fornell&lt;/Author&gt;&lt;Year&gt;1981&lt;/Year&gt;&lt;RecNum&gt;4060&lt;/RecNum&gt;&lt;DisplayText&gt;(Fornell &amp;amp; Larcker, 1981)&lt;/DisplayText&gt;&lt;record&gt;&lt;rec-number&gt;4060&lt;/rec-number&gt;&lt;foreign-keys&gt;&lt;key app="EN" db-id="900edwzvlz5zfoeradsxtdxf2swapvrr2ddd" timestamp="1554624352"&gt;4060&lt;/key&gt;&lt;/foreign-keys&gt;&lt;ref-type name="Journal Article"&gt;17&lt;/ref-type&gt;&lt;contributors&gt;&lt;authors&gt;&lt;author&gt;Fornell, Claes&lt;/author&gt;&lt;author&gt;Larcker, David 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research&lt;/full-title&gt;&lt;/periodical&gt;&lt;pages&gt;39-50&lt;/pages&gt;&lt;volume&gt;18&lt;/volume&gt;&lt;dates&gt;&lt;year&gt;1981&lt;/year&gt;&lt;/dates&gt;&lt;isbn&gt;0022-2437&lt;/isbn&gt;&lt;urls&gt;&lt;/urls&gt;&lt;/record&gt;&lt;/Cite&gt;&lt;/EndNote&gt;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(Fornell &amp; Larcker, 1981)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E0047">
        <w:rPr>
          <w:rFonts w:ascii="Times New Roman" w:hAnsi="Times New Roman" w:cs="Times New Roman"/>
          <w:sz w:val="24"/>
          <w:szCs w:val="24"/>
        </w:rPr>
        <w:t xml:space="preserve">In a similar vein the findings of Table 2 demonstrate that the CA, which varied from </w:t>
      </w:r>
      <w:r>
        <w:rPr>
          <w:rFonts w:ascii="Times New Roman" w:hAnsi="Times New Roman" w:cs="Times New Roman"/>
          <w:sz w:val="24"/>
          <w:szCs w:val="24"/>
        </w:rPr>
        <w:t>(0.82 to 0.</w:t>
      </w:r>
      <w:r w:rsidRPr="002E0047">
        <w:rPr>
          <w:rFonts w:ascii="Times New Roman" w:hAnsi="Times New Roman" w:cs="Times New Roman"/>
          <w:sz w:val="24"/>
          <w:szCs w:val="24"/>
        </w:rPr>
        <w:t>9</w:t>
      </w:r>
      <w:r>
        <w:rPr>
          <w:rFonts w:ascii="Times New Roman" w:hAnsi="Times New Roman" w:cs="Times New Roman"/>
          <w:sz w:val="24"/>
          <w:szCs w:val="24"/>
        </w:rPr>
        <w:t>4)</w:t>
      </w:r>
      <w:r w:rsidRPr="002E0047">
        <w:rPr>
          <w:rFonts w:ascii="Times New Roman" w:hAnsi="Times New Roman" w:cs="Times New Roman"/>
          <w:sz w:val="24"/>
          <w:szCs w:val="24"/>
        </w:rPr>
        <w:t>, was significantly higher than the reference level of 0.70</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&lt;EndNote&gt;&lt;Cite&gt;&lt;Author&gt;Kanwal&lt;/Author&gt;&lt;Year&gt;2019&lt;/Year&gt;&lt;RecNum&gt;4277&lt;/RecNum&gt;&lt;DisplayText&gt;(Fornell &amp;amp; Larcker, 1981; Kanwal, Pitafi, Rasheed, Pitafi, &amp;amp; Iqbal, 2019)&lt;/DisplayText&gt;&lt;record&gt;&lt;rec-number&gt;4277&lt;/rec-number&gt;&lt;foreign-keys&gt;&lt;key app="EN" db-id="900edwzvlz5zfoeradsxtdxf2swapvrr2ddd" timestamp="1566613182"&gt;4277&lt;/key&gt;&lt;/foreign-keys&gt;&lt;ref-type name="Journal Article"&gt;17&lt;/ref-type&gt;&lt;contributors&gt;&lt;authors&gt;&lt;author&gt;Kanwal, Shamsa&lt;/author&gt;&lt;author&gt;Pitafi, Abdul Hameed&lt;/author&gt;&lt;author&gt;Rasheed, Muhammad Imran&lt;/author&gt;&lt;author&gt;Pitafi, Adnan&lt;/author&gt;&lt;author&gt;Iqbal, Jawad&lt;/author&gt;&lt;/authors&gt;&lt;/contributors&gt;&lt;titles&gt;&lt;title&gt;Assessment of residents’ perceptions and support toward development projects: A study of the China–Pakistan Economic Corridor&lt;/title&gt;&lt;secondary-title&gt;The Social Science Journal&lt;/secondary-title&gt;&lt;/titles&gt;&lt;periodical&gt;&lt;full-title&gt;The Social Science Journal&lt;/full-title&gt;&lt;/periodical&gt;&lt;dates&gt;&lt;year&gt;2019&lt;/year&gt;&lt;/dates&gt;&lt;isbn&gt;0362-3319&lt;/isbn&gt;&lt;urls&gt;&lt;/urls&gt;&lt;/record&gt;&lt;/Cite&gt;&lt;Cite&gt;&lt;Author&gt;Fornell&lt;/Author&gt;&lt;Year&gt;1981&lt;/Year&gt;&lt;RecNum&gt;4060&lt;/RecNum&gt;&lt;record&gt;&lt;rec-number&gt;4060&lt;/rec-number&gt;&lt;foreign-keys&gt;&lt;key app="EN" db-id="900edwzvlz5zfoeradsxtdxf2swapvrr2ddd" timestamp="1554624352"&gt;4060&lt;/key&gt;&lt;/foreign-keys&gt;&lt;ref-type name="Journal Article"&gt;17&lt;/ref-type&gt;&lt;contributors&gt;&lt;authors&gt;&lt;author&gt;Fornell, Claes&lt;/author&gt;&lt;author&gt;Larcker, David 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research&lt;/full-title&gt;&lt;/periodical&gt;&lt;pages&gt;39-50&lt;/pages&gt;&lt;volume&gt;18&lt;/volume&gt;&lt;dates&gt;&lt;year&gt;1981&lt;/year&gt;&lt;/dates&gt;&lt;isbn&gt;0022-2437&lt;/isbn&gt;&lt;urls&gt;&lt;/urls&gt;&lt;/record&gt;&lt;/Cite&gt;&lt;/EndNote&gt;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(Fornell &amp; Larcker, 1981; Kanwal, Pitafi, Rasheed, Pitafi, &amp; Iqbal, 2019)</w:t>
      </w:r>
      <w:r>
        <w:rPr>
          <w:rFonts w:ascii="Times New Roman" w:hAnsi="Times New Roman" w:cs="Times New Roman"/>
          <w:sz w:val="24"/>
          <w:szCs w:val="24"/>
        </w:rPr>
        <w:fldChar w:fldCharType="end"/>
      </w:r>
      <w:r w:rsidRPr="002E0047">
        <w:rPr>
          <w:rFonts w:ascii="Times New Roman" w:hAnsi="Times New Roman" w:cs="Times New Roman"/>
          <w:sz w:val="24"/>
          <w:szCs w:val="24"/>
        </w:rPr>
        <w:t xml:space="preserve">. </w:t>
      </w:r>
      <w:r w:rsidRPr="00321A91">
        <w:rPr>
          <w:rFonts w:ascii="Times New Roman" w:hAnsi="Times New Roman" w:cs="Times New Roman"/>
          <w:sz w:val="24"/>
          <w:szCs w:val="24"/>
        </w:rPr>
        <w:t xml:space="preserve">The CR values varying from </w:t>
      </w:r>
      <w:r>
        <w:rPr>
          <w:rFonts w:ascii="Times New Roman" w:hAnsi="Times New Roman" w:cs="Times New Roman"/>
          <w:sz w:val="24"/>
          <w:szCs w:val="24"/>
        </w:rPr>
        <w:t>(0.89 to 0.</w:t>
      </w:r>
      <w:r w:rsidRPr="00321A91">
        <w:rPr>
          <w:rFonts w:ascii="Times New Roman" w:hAnsi="Times New Roman" w:cs="Times New Roman"/>
          <w:sz w:val="24"/>
          <w:szCs w:val="24"/>
        </w:rPr>
        <w:t>9</w:t>
      </w:r>
      <w:r>
        <w:rPr>
          <w:rFonts w:ascii="Times New Roman" w:hAnsi="Times New Roman" w:cs="Times New Roman"/>
          <w:sz w:val="24"/>
          <w:szCs w:val="24"/>
        </w:rPr>
        <w:t>6)</w:t>
      </w:r>
      <w:r w:rsidRPr="00321A91">
        <w:rPr>
          <w:rFonts w:ascii="Times New Roman" w:hAnsi="Times New Roman" w:cs="Times New Roman"/>
          <w:sz w:val="24"/>
          <w:szCs w:val="24"/>
        </w:rPr>
        <w:t xml:space="preserve"> and were substantially greater than the standard value of 0.70</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&lt;EndNote&gt;&lt;Cite&gt;&lt;Author&gt;Fornell&lt;/Author&gt;&lt;Year&gt;1981&lt;/Year&gt;&lt;RecNum&gt;4060&lt;/RecNum&gt;&lt;DisplayText&gt;(Fornell &amp;amp; Larcker, 1981)&lt;/DisplayText&gt;&lt;record&gt;&lt;rec-number&gt;4060&lt;/rec-number&gt;&lt;foreign-keys&gt;&lt;key app="EN" db-id="900edwzvlz5zfoeradsxtdxf2swapvrr2ddd" timestamp="1554624352"&gt;4060&lt;/key&gt;&lt;/foreign-keys&gt;&lt;ref-type name="Journal Article"&gt;17&lt;/ref-type&gt;&lt;contributors&gt;&lt;authors&gt;&lt;author&gt;Fornell, Claes&lt;/author&gt;&lt;author&gt;Larcker, David 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research&lt;/full-title&gt;&lt;/periodical&gt;&lt;pages&gt;39-50&lt;/pages&gt;&lt;volume&gt;18&lt;/volume&gt;&lt;dates&gt;&lt;year&gt;1981&lt;/year&gt;&lt;/dates&gt;&lt;isbn&gt;0022-2437&lt;/isbn&gt;&lt;urls&gt;&lt;/urls&gt;&lt;/record&gt;&lt;/Cite&gt;&lt;/EndNote&gt;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(Fornell &amp; Larcker, 1981)</w:t>
      </w:r>
      <w:r>
        <w:rPr>
          <w:rFonts w:ascii="Times New Roman" w:hAnsi="Times New Roman" w:cs="Times New Roman"/>
          <w:sz w:val="24"/>
          <w:szCs w:val="24"/>
        </w:rPr>
        <w:fldChar w:fldCharType="end"/>
      </w:r>
      <w:r w:rsidRPr="00321A91">
        <w:rPr>
          <w:rFonts w:ascii="Times New Roman" w:hAnsi="Times New Roman" w:cs="Times New Roman"/>
          <w:sz w:val="24"/>
          <w:szCs w:val="24"/>
        </w:rPr>
        <w:t xml:space="preserve">. The AVE assessments varied from </w:t>
      </w:r>
      <w:r>
        <w:rPr>
          <w:rFonts w:ascii="Times New Roman" w:hAnsi="Times New Roman" w:cs="Times New Roman"/>
          <w:sz w:val="24"/>
          <w:szCs w:val="24"/>
        </w:rPr>
        <w:t>(0.66 to 0.85)</w:t>
      </w:r>
      <w:r w:rsidRPr="00321A91">
        <w:rPr>
          <w:rFonts w:ascii="Times New Roman" w:hAnsi="Times New Roman" w:cs="Times New Roman"/>
          <w:sz w:val="24"/>
          <w:szCs w:val="24"/>
        </w:rPr>
        <w:t>, which was higher than the baseline value of 0.50</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&lt;EndNote&gt;&lt;Cite&gt;&lt;Author&gt;Nunnally&lt;/Author&gt;&lt;Year&gt;1978&lt;/Year&gt;&lt;RecNum&gt;2866&lt;/RecNum&gt;&lt;DisplayText&gt;(Nunnally &amp;amp; Bernstein, 1978)&lt;/DisplayText&gt;&lt;record&gt;&lt;rec-number&gt;2866&lt;/rec-number&gt;&lt;foreign-keys&gt;&lt;key app="EN" db-id="900edwzvlz5zfoeradsxtdxf2swapvrr2ddd" timestamp="1515787382"&gt;2866&lt;/key&gt;&lt;/foreign-keys&gt;&lt;ref-type name="Journal Article"&gt;17&lt;/ref-type&gt;&lt;contributors&gt;&lt;authors&gt;&lt;author&gt;Nunnally, Jum C&lt;/author&gt;&lt;author&gt;Bernstein, I&lt;/author&gt;&lt;/authors&gt;&lt;/contributors&gt;&lt;titles&gt;&lt;title&gt;Psychometric theory. New York (2ed.).New York: McGraw-Hill&lt;/title&gt;&lt;/titles&gt;&lt;dates&gt;&lt;year&gt;1978&lt;/year&gt;&lt;/dates&gt;&lt;urls&gt;&lt;/urls&gt;&lt;/record&gt;&lt;/Cite&gt;&lt;/EndNote&gt;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(Nunnally &amp; Bernstein, 1978)</w:t>
      </w:r>
      <w:r>
        <w:rPr>
          <w:rFonts w:ascii="Times New Roman" w:hAnsi="Times New Roman" w:cs="Times New Roman"/>
          <w:sz w:val="24"/>
          <w:szCs w:val="24"/>
        </w:rPr>
        <w:fldChar w:fldCharType="end"/>
      </w:r>
      <w:r w:rsidRPr="00321A91">
        <w:rPr>
          <w:rFonts w:ascii="Times New Roman" w:hAnsi="Times New Roman" w:cs="Times New Roman"/>
          <w:sz w:val="24"/>
          <w:szCs w:val="24"/>
        </w:rPr>
        <w:t xml:space="preserve">. </w:t>
      </w:r>
      <w:r w:rsidRPr="006675C4">
        <w:rPr>
          <w:rFonts w:ascii="Times New Roman" w:hAnsi="Times New Roman" w:cs="Times New Roman"/>
          <w:sz w:val="24"/>
          <w:szCs w:val="24"/>
        </w:rPr>
        <w:t xml:space="preserve">The results obtained suggested that the measurement model had excellent convergent validity. </w:t>
      </w:r>
    </w:p>
    <w:p w:rsidR="00DE5BBE" w:rsidRPr="009563D2" w:rsidRDefault="00DE5BBE" w:rsidP="00DE5BBE">
      <w:pPr>
        <w:jc w:val="center"/>
        <w:rPr>
          <w:rFonts w:ascii="Times New Roman" w:hAnsi="Times New Roman" w:cs="Times New Roman"/>
          <w:i/>
          <w:sz w:val="24"/>
          <w:szCs w:val="24"/>
        </w:rPr>
      </w:pPr>
      <w:r w:rsidRPr="009563D2">
        <w:rPr>
          <w:rFonts w:ascii="Times New Roman" w:hAnsi="Times New Roman" w:cs="Times New Roman"/>
          <w:b/>
          <w:i/>
          <w:sz w:val="24"/>
          <w:szCs w:val="24"/>
        </w:rPr>
        <w:t xml:space="preserve">Table 2. </w:t>
      </w:r>
      <w:r w:rsidRPr="009563D2">
        <w:rPr>
          <w:rFonts w:ascii="Times New Roman" w:hAnsi="Times New Roman" w:cs="Times New Roman"/>
          <w:i/>
          <w:sz w:val="24"/>
          <w:szCs w:val="24"/>
        </w:rPr>
        <w:t>Results of confirmatory factor analysis</w:t>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2"/>
        <w:gridCol w:w="1480"/>
        <w:gridCol w:w="992"/>
        <w:gridCol w:w="1120"/>
        <w:gridCol w:w="723"/>
      </w:tblGrid>
      <w:tr w:rsidR="00DE5BBE" w:rsidRPr="009563D2" w:rsidTr="00935264">
        <w:trPr>
          <w:jc w:val="center"/>
        </w:trPr>
        <w:tc>
          <w:tcPr>
            <w:tcW w:w="3482" w:type="dxa"/>
            <w:tcBorders>
              <w:top w:val="single" w:sz="12" w:space="0" w:color="auto"/>
              <w:bottom w:val="single" w:sz="12" w:space="0" w:color="auto"/>
            </w:tcBorders>
          </w:tcPr>
          <w:p w:rsidR="00DE5BBE" w:rsidRPr="009563D2" w:rsidRDefault="00DE5BBE" w:rsidP="00935264">
            <w:pPr>
              <w:rPr>
                <w:b/>
              </w:rPr>
            </w:pPr>
            <w:r w:rsidRPr="009563D2">
              <w:rPr>
                <w:b/>
              </w:rPr>
              <w:t>Variable Name</w:t>
            </w:r>
          </w:p>
        </w:tc>
        <w:tc>
          <w:tcPr>
            <w:tcW w:w="1480" w:type="dxa"/>
            <w:tcBorders>
              <w:top w:val="single" w:sz="12" w:space="0" w:color="auto"/>
              <w:bottom w:val="single" w:sz="12" w:space="0" w:color="auto"/>
            </w:tcBorders>
          </w:tcPr>
          <w:p w:rsidR="00DE5BBE" w:rsidRPr="009563D2" w:rsidRDefault="00DE5BBE" w:rsidP="00935264">
            <w:pPr>
              <w:rPr>
                <w:b/>
              </w:rPr>
            </w:pPr>
            <w:r w:rsidRPr="009563D2">
              <w:rPr>
                <w:b/>
              </w:rPr>
              <w:t>Items</w:t>
            </w:r>
          </w:p>
        </w:tc>
        <w:tc>
          <w:tcPr>
            <w:tcW w:w="992" w:type="dxa"/>
            <w:tcBorders>
              <w:top w:val="single" w:sz="12" w:space="0" w:color="auto"/>
              <w:bottom w:val="single" w:sz="12" w:space="0" w:color="auto"/>
            </w:tcBorders>
          </w:tcPr>
          <w:p w:rsidR="00DE5BBE" w:rsidRPr="009563D2" w:rsidRDefault="00DE5BBE" w:rsidP="00935264">
            <w:pPr>
              <w:rPr>
                <w:b/>
              </w:rPr>
            </w:pPr>
            <w:r w:rsidRPr="009563D2">
              <w:rPr>
                <w:b/>
              </w:rPr>
              <w:t xml:space="preserve">CA </w:t>
            </w:r>
          </w:p>
        </w:tc>
        <w:tc>
          <w:tcPr>
            <w:tcW w:w="1120" w:type="dxa"/>
            <w:tcBorders>
              <w:top w:val="single" w:sz="12" w:space="0" w:color="auto"/>
              <w:bottom w:val="single" w:sz="12" w:space="0" w:color="auto"/>
            </w:tcBorders>
          </w:tcPr>
          <w:p w:rsidR="00DE5BBE" w:rsidRPr="009563D2" w:rsidRDefault="00DE5BBE" w:rsidP="00935264">
            <w:pPr>
              <w:rPr>
                <w:b/>
              </w:rPr>
            </w:pPr>
            <w:r w:rsidRPr="009563D2">
              <w:rPr>
                <w:b/>
              </w:rPr>
              <w:t xml:space="preserve"> CR </w:t>
            </w:r>
          </w:p>
        </w:tc>
        <w:tc>
          <w:tcPr>
            <w:tcW w:w="723" w:type="dxa"/>
            <w:tcBorders>
              <w:top w:val="single" w:sz="12" w:space="0" w:color="auto"/>
              <w:bottom w:val="single" w:sz="12" w:space="0" w:color="auto"/>
            </w:tcBorders>
          </w:tcPr>
          <w:p w:rsidR="00DE5BBE" w:rsidRPr="009563D2" w:rsidRDefault="00DE5BBE" w:rsidP="00935264">
            <w:pPr>
              <w:rPr>
                <w:b/>
              </w:rPr>
            </w:pPr>
            <w:r w:rsidRPr="009563D2">
              <w:rPr>
                <w:b/>
              </w:rPr>
              <w:t>AVE</w:t>
            </w:r>
          </w:p>
        </w:tc>
      </w:tr>
      <w:tr w:rsidR="00DE5BBE" w:rsidRPr="009563D2" w:rsidTr="00935264">
        <w:trPr>
          <w:jc w:val="center"/>
        </w:trPr>
        <w:tc>
          <w:tcPr>
            <w:tcW w:w="3482" w:type="dxa"/>
            <w:tcBorders>
              <w:top w:val="single" w:sz="12" w:space="0" w:color="auto"/>
            </w:tcBorders>
          </w:tcPr>
          <w:p w:rsidR="00DE5BBE" w:rsidRPr="009563D2" w:rsidRDefault="00DE5BBE" w:rsidP="00935264">
            <w:pPr>
              <w:rPr>
                <w:sz w:val="18"/>
                <w:szCs w:val="18"/>
              </w:rPr>
            </w:pPr>
            <w:r w:rsidRPr="009563D2">
              <w:rPr>
                <w:sz w:val="18"/>
                <w:szCs w:val="18"/>
              </w:rPr>
              <w:t>Environmental factor</w:t>
            </w:r>
          </w:p>
        </w:tc>
        <w:tc>
          <w:tcPr>
            <w:tcW w:w="1480" w:type="dxa"/>
            <w:tcBorders>
              <w:top w:val="single" w:sz="12" w:space="0" w:color="auto"/>
            </w:tcBorders>
          </w:tcPr>
          <w:p w:rsidR="00DE5BBE" w:rsidRPr="009563D2" w:rsidRDefault="00DE5BBE" w:rsidP="00935264">
            <w:pPr>
              <w:rPr>
                <w:sz w:val="18"/>
                <w:szCs w:val="18"/>
              </w:rPr>
            </w:pPr>
            <w:r w:rsidRPr="009563D2">
              <w:rPr>
                <w:sz w:val="18"/>
                <w:szCs w:val="18"/>
              </w:rPr>
              <w:t>4</w:t>
            </w:r>
          </w:p>
        </w:tc>
        <w:tc>
          <w:tcPr>
            <w:tcW w:w="992" w:type="dxa"/>
            <w:tcBorders>
              <w:top w:val="single" w:sz="12" w:space="0" w:color="auto"/>
            </w:tcBorders>
          </w:tcPr>
          <w:p w:rsidR="00DE5BBE" w:rsidRPr="009563D2" w:rsidRDefault="00DE5BBE" w:rsidP="00935264">
            <w:pPr>
              <w:rPr>
                <w:sz w:val="18"/>
                <w:szCs w:val="18"/>
              </w:rPr>
            </w:pPr>
            <w:r w:rsidRPr="009563D2">
              <w:rPr>
                <w:sz w:val="18"/>
                <w:szCs w:val="18"/>
              </w:rPr>
              <w:t>0.82</w:t>
            </w:r>
          </w:p>
        </w:tc>
        <w:tc>
          <w:tcPr>
            <w:tcW w:w="1120" w:type="dxa"/>
            <w:tcBorders>
              <w:top w:val="single" w:sz="12" w:space="0" w:color="auto"/>
            </w:tcBorders>
          </w:tcPr>
          <w:p w:rsidR="00DE5BBE" w:rsidRPr="009563D2" w:rsidRDefault="00DE5BBE" w:rsidP="00935264">
            <w:pPr>
              <w:rPr>
                <w:sz w:val="18"/>
                <w:szCs w:val="18"/>
              </w:rPr>
            </w:pPr>
            <w:r w:rsidRPr="009563D2">
              <w:rPr>
                <w:sz w:val="18"/>
                <w:szCs w:val="18"/>
              </w:rPr>
              <w:t>0.89</w:t>
            </w:r>
          </w:p>
        </w:tc>
        <w:tc>
          <w:tcPr>
            <w:tcW w:w="723" w:type="dxa"/>
            <w:tcBorders>
              <w:top w:val="single" w:sz="12" w:space="0" w:color="auto"/>
            </w:tcBorders>
          </w:tcPr>
          <w:p w:rsidR="00DE5BBE" w:rsidRPr="009563D2" w:rsidRDefault="00DE5BBE" w:rsidP="00935264">
            <w:pPr>
              <w:rPr>
                <w:sz w:val="18"/>
                <w:szCs w:val="18"/>
              </w:rPr>
            </w:pPr>
            <w:r w:rsidRPr="009563D2">
              <w:rPr>
                <w:sz w:val="18"/>
                <w:szCs w:val="18"/>
              </w:rPr>
              <w:t>0.66</w:t>
            </w:r>
          </w:p>
        </w:tc>
      </w:tr>
      <w:tr w:rsidR="00DE5BBE" w:rsidRPr="009563D2" w:rsidTr="00935264">
        <w:trPr>
          <w:jc w:val="center"/>
        </w:trPr>
        <w:tc>
          <w:tcPr>
            <w:tcW w:w="3482" w:type="dxa"/>
          </w:tcPr>
          <w:p w:rsidR="00DE5BBE" w:rsidRPr="009563D2" w:rsidRDefault="00DE5BBE" w:rsidP="00935264">
            <w:pPr>
              <w:rPr>
                <w:sz w:val="18"/>
                <w:szCs w:val="18"/>
              </w:rPr>
            </w:pPr>
            <w:r w:rsidRPr="009563D2">
              <w:rPr>
                <w:sz w:val="18"/>
                <w:szCs w:val="18"/>
              </w:rPr>
              <w:t>Property physical factor</w:t>
            </w:r>
          </w:p>
        </w:tc>
        <w:tc>
          <w:tcPr>
            <w:tcW w:w="1480" w:type="dxa"/>
          </w:tcPr>
          <w:p w:rsidR="00DE5BBE" w:rsidRPr="009563D2" w:rsidRDefault="00DE5BBE" w:rsidP="00935264">
            <w:pPr>
              <w:rPr>
                <w:sz w:val="18"/>
                <w:szCs w:val="18"/>
              </w:rPr>
            </w:pPr>
            <w:r w:rsidRPr="009563D2">
              <w:rPr>
                <w:sz w:val="18"/>
                <w:szCs w:val="18"/>
              </w:rPr>
              <w:t>4</w:t>
            </w:r>
          </w:p>
        </w:tc>
        <w:tc>
          <w:tcPr>
            <w:tcW w:w="992" w:type="dxa"/>
          </w:tcPr>
          <w:p w:rsidR="00DE5BBE" w:rsidRPr="009563D2" w:rsidRDefault="00DE5BBE" w:rsidP="00935264">
            <w:pPr>
              <w:rPr>
                <w:sz w:val="18"/>
                <w:szCs w:val="18"/>
              </w:rPr>
            </w:pPr>
            <w:r w:rsidRPr="009563D2">
              <w:rPr>
                <w:sz w:val="18"/>
                <w:szCs w:val="18"/>
              </w:rPr>
              <w:t>0.92</w:t>
            </w:r>
          </w:p>
        </w:tc>
        <w:tc>
          <w:tcPr>
            <w:tcW w:w="1120" w:type="dxa"/>
          </w:tcPr>
          <w:p w:rsidR="00DE5BBE" w:rsidRPr="009563D2" w:rsidRDefault="00DE5BBE" w:rsidP="00935264">
            <w:pPr>
              <w:rPr>
                <w:sz w:val="18"/>
                <w:szCs w:val="18"/>
              </w:rPr>
            </w:pPr>
            <w:r w:rsidRPr="009563D2">
              <w:rPr>
                <w:sz w:val="18"/>
                <w:szCs w:val="18"/>
              </w:rPr>
              <w:t>0.95</w:t>
            </w:r>
          </w:p>
        </w:tc>
        <w:tc>
          <w:tcPr>
            <w:tcW w:w="723" w:type="dxa"/>
          </w:tcPr>
          <w:p w:rsidR="00DE5BBE" w:rsidRPr="009563D2" w:rsidRDefault="00DE5BBE" w:rsidP="00935264">
            <w:pPr>
              <w:rPr>
                <w:sz w:val="18"/>
                <w:szCs w:val="18"/>
              </w:rPr>
            </w:pPr>
            <w:r w:rsidRPr="009563D2">
              <w:rPr>
                <w:sz w:val="18"/>
                <w:szCs w:val="18"/>
              </w:rPr>
              <w:t>0.82</w:t>
            </w:r>
          </w:p>
        </w:tc>
      </w:tr>
      <w:tr w:rsidR="00DE5BBE" w:rsidRPr="009563D2" w:rsidTr="00935264">
        <w:trPr>
          <w:jc w:val="center"/>
        </w:trPr>
        <w:tc>
          <w:tcPr>
            <w:tcW w:w="3482" w:type="dxa"/>
          </w:tcPr>
          <w:p w:rsidR="00DE5BBE" w:rsidRPr="009563D2" w:rsidRDefault="00DE5BBE" w:rsidP="00935264">
            <w:pPr>
              <w:rPr>
                <w:sz w:val="18"/>
                <w:szCs w:val="18"/>
              </w:rPr>
            </w:pPr>
            <w:r w:rsidRPr="009563D2">
              <w:rPr>
                <w:sz w:val="18"/>
                <w:szCs w:val="18"/>
              </w:rPr>
              <w:lastRenderedPageBreak/>
              <w:t>Distance factor</w:t>
            </w:r>
          </w:p>
        </w:tc>
        <w:tc>
          <w:tcPr>
            <w:tcW w:w="1480" w:type="dxa"/>
          </w:tcPr>
          <w:p w:rsidR="00DE5BBE" w:rsidRPr="009563D2" w:rsidRDefault="00DE5BBE" w:rsidP="00935264">
            <w:pPr>
              <w:rPr>
                <w:sz w:val="18"/>
                <w:szCs w:val="18"/>
              </w:rPr>
            </w:pPr>
            <w:r w:rsidRPr="009563D2">
              <w:rPr>
                <w:sz w:val="18"/>
                <w:szCs w:val="18"/>
              </w:rPr>
              <w:t>5</w:t>
            </w:r>
          </w:p>
        </w:tc>
        <w:tc>
          <w:tcPr>
            <w:tcW w:w="992" w:type="dxa"/>
          </w:tcPr>
          <w:p w:rsidR="00DE5BBE" w:rsidRPr="009563D2" w:rsidRDefault="00DE5BBE" w:rsidP="00935264">
            <w:pPr>
              <w:rPr>
                <w:sz w:val="18"/>
                <w:szCs w:val="18"/>
              </w:rPr>
            </w:pPr>
            <w:r w:rsidRPr="009563D2">
              <w:rPr>
                <w:sz w:val="18"/>
                <w:szCs w:val="18"/>
              </w:rPr>
              <w:t>0.90</w:t>
            </w:r>
          </w:p>
        </w:tc>
        <w:tc>
          <w:tcPr>
            <w:tcW w:w="1120" w:type="dxa"/>
          </w:tcPr>
          <w:p w:rsidR="00DE5BBE" w:rsidRPr="009563D2" w:rsidRDefault="00DE5BBE" w:rsidP="00935264">
            <w:pPr>
              <w:rPr>
                <w:sz w:val="18"/>
                <w:szCs w:val="18"/>
              </w:rPr>
            </w:pPr>
            <w:r w:rsidRPr="009563D2">
              <w:rPr>
                <w:sz w:val="18"/>
                <w:szCs w:val="18"/>
              </w:rPr>
              <w:t>0.93</w:t>
            </w:r>
          </w:p>
        </w:tc>
        <w:tc>
          <w:tcPr>
            <w:tcW w:w="723" w:type="dxa"/>
          </w:tcPr>
          <w:p w:rsidR="00DE5BBE" w:rsidRPr="009563D2" w:rsidRDefault="00DE5BBE" w:rsidP="00935264">
            <w:pPr>
              <w:rPr>
                <w:sz w:val="18"/>
                <w:szCs w:val="18"/>
              </w:rPr>
            </w:pPr>
            <w:r w:rsidRPr="009563D2">
              <w:rPr>
                <w:sz w:val="18"/>
                <w:szCs w:val="18"/>
              </w:rPr>
              <w:t>0.72</w:t>
            </w:r>
          </w:p>
        </w:tc>
      </w:tr>
      <w:tr w:rsidR="00DE5BBE" w:rsidRPr="009563D2" w:rsidTr="00935264">
        <w:trPr>
          <w:jc w:val="center"/>
        </w:trPr>
        <w:tc>
          <w:tcPr>
            <w:tcW w:w="3482" w:type="dxa"/>
          </w:tcPr>
          <w:p w:rsidR="00DE5BBE" w:rsidRPr="009563D2" w:rsidRDefault="00DE5BBE" w:rsidP="00935264">
            <w:pPr>
              <w:rPr>
                <w:sz w:val="18"/>
                <w:szCs w:val="18"/>
              </w:rPr>
            </w:pPr>
            <w:r w:rsidRPr="009563D2">
              <w:rPr>
                <w:iCs/>
                <w:sz w:val="18"/>
                <w:szCs w:val="18"/>
              </w:rPr>
              <w:t>Facilities</w:t>
            </w:r>
          </w:p>
        </w:tc>
        <w:tc>
          <w:tcPr>
            <w:tcW w:w="1480" w:type="dxa"/>
          </w:tcPr>
          <w:p w:rsidR="00DE5BBE" w:rsidRPr="009563D2" w:rsidRDefault="00DE5BBE" w:rsidP="00935264">
            <w:pPr>
              <w:rPr>
                <w:sz w:val="18"/>
                <w:szCs w:val="18"/>
              </w:rPr>
            </w:pPr>
            <w:r w:rsidRPr="009563D2">
              <w:rPr>
                <w:sz w:val="18"/>
                <w:szCs w:val="18"/>
              </w:rPr>
              <w:t>4</w:t>
            </w:r>
          </w:p>
        </w:tc>
        <w:tc>
          <w:tcPr>
            <w:tcW w:w="992" w:type="dxa"/>
          </w:tcPr>
          <w:p w:rsidR="00DE5BBE" w:rsidRPr="009563D2" w:rsidRDefault="00DE5BBE" w:rsidP="00935264">
            <w:pPr>
              <w:rPr>
                <w:sz w:val="18"/>
                <w:szCs w:val="18"/>
              </w:rPr>
            </w:pPr>
            <w:r w:rsidRPr="009563D2">
              <w:rPr>
                <w:sz w:val="18"/>
                <w:szCs w:val="18"/>
              </w:rPr>
              <w:t>0.94</w:t>
            </w:r>
          </w:p>
        </w:tc>
        <w:tc>
          <w:tcPr>
            <w:tcW w:w="1120" w:type="dxa"/>
          </w:tcPr>
          <w:p w:rsidR="00DE5BBE" w:rsidRPr="009563D2" w:rsidRDefault="00DE5BBE" w:rsidP="00935264">
            <w:pPr>
              <w:rPr>
                <w:sz w:val="18"/>
                <w:szCs w:val="18"/>
              </w:rPr>
            </w:pPr>
            <w:r w:rsidRPr="009563D2">
              <w:rPr>
                <w:sz w:val="18"/>
                <w:szCs w:val="18"/>
              </w:rPr>
              <w:t>0.96</w:t>
            </w:r>
          </w:p>
        </w:tc>
        <w:tc>
          <w:tcPr>
            <w:tcW w:w="723" w:type="dxa"/>
          </w:tcPr>
          <w:p w:rsidR="00DE5BBE" w:rsidRPr="009563D2" w:rsidRDefault="00DE5BBE" w:rsidP="00935264">
            <w:pPr>
              <w:rPr>
                <w:sz w:val="18"/>
                <w:szCs w:val="18"/>
              </w:rPr>
            </w:pPr>
            <w:r w:rsidRPr="009563D2">
              <w:rPr>
                <w:sz w:val="18"/>
                <w:szCs w:val="18"/>
              </w:rPr>
              <w:t>0.85</w:t>
            </w:r>
          </w:p>
        </w:tc>
      </w:tr>
      <w:tr w:rsidR="00DE5BBE" w:rsidRPr="009563D2" w:rsidTr="00935264">
        <w:trPr>
          <w:jc w:val="center"/>
        </w:trPr>
        <w:tc>
          <w:tcPr>
            <w:tcW w:w="3482" w:type="dxa"/>
          </w:tcPr>
          <w:p w:rsidR="00DE5BBE" w:rsidRPr="009563D2" w:rsidRDefault="00DE5BBE" w:rsidP="00935264">
            <w:pPr>
              <w:rPr>
                <w:sz w:val="18"/>
                <w:szCs w:val="18"/>
              </w:rPr>
            </w:pPr>
            <w:r w:rsidRPr="009563D2">
              <w:rPr>
                <w:iCs/>
                <w:sz w:val="18"/>
                <w:szCs w:val="18"/>
              </w:rPr>
              <w:t>Financial Factor</w:t>
            </w:r>
          </w:p>
        </w:tc>
        <w:tc>
          <w:tcPr>
            <w:tcW w:w="1480" w:type="dxa"/>
          </w:tcPr>
          <w:p w:rsidR="00DE5BBE" w:rsidRPr="009563D2" w:rsidRDefault="00DE5BBE" w:rsidP="00935264">
            <w:pPr>
              <w:rPr>
                <w:sz w:val="18"/>
                <w:szCs w:val="18"/>
              </w:rPr>
            </w:pPr>
            <w:r w:rsidRPr="009563D2">
              <w:rPr>
                <w:sz w:val="18"/>
                <w:szCs w:val="18"/>
              </w:rPr>
              <w:t>4</w:t>
            </w:r>
          </w:p>
        </w:tc>
        <w:tc>
          <w:tcPr>
            <w:tcW w:w="992" w:type="dxa"/>
          </w:tcPr>
          <w:p w:rsidR="00DE5BBE" w:rsidRPr="009563D2" w:rsidRDefault="00DE5BBE" w:rsidP="00935264">
            <w:pPr>
              <w:rPr>
                <w:sz w:val="18"/>
                <w:szCs w:val="18"/>
              </w:rPr>
            </w:pPr>
            <w:r w:rsidRPr="009563D2">
              <w:rPr>
                <w:sz w:val="18"/>
                <w:szCs w:val="18"/>
              </w:rPr>
              <w:t>0.83</w:t>
            </w:r>
          </w:p>
        </w:tc>
        <w:tc>
          <w:tcPr>
            <w:tcW w:w="1120" w:type="dxa"/>
          </w:tcPr>
          <w:p w:rsidR="00DE5BBE" w:rsidRPr="009563D2" w:rsidRDefault="00DE5BBE" w:rsidP="00935264">
            <w:pPr>
              <w:rPr>
                <w:sz w:val="18"/>
                <w:szCs w:val="18"/>
              </w:rPr>
            </w:pPr>
            <w:r w:rsidRPr="009563D2">
              <w:rPr>
                <w:sz w:val="18"/>
                <w:szCs w:val="18"/>
              </w:rPr>
              <w:t>0.95</w:t>
            </w:r>
          </w:p>
        </w:tc>
        <w:tc>
          <w:tcPr>
            <w:tcW w:w="723" w:type="dxa"/>
          </w:tcPr>
          <w:p w:rsidR="00DE5BBE" w:rsidRPr="009563D2" w:rsidRDefault="00DE5BBE" w:rsidP="00935264">
            <w:pPr>
              <w:rPr>
                <w:sz w:val="18"/>
                <w:szCs w:val="18"/>
              </w:rPr>
            </w:pPr>
            <w:r w:rsidRPr="009563D2">
              <w:rPr>
                <w:sz w:val="18"/>
                <w:szCs w:val="18"/>
              </w:rPr>
              <w:t>0.75</w:t>
            </w:r>
          </w:p>
        </w:tc>
      </w:tr>
      <w:tr w:rsidR="00DE5BBE" w:rsidRPr="009563D2" w:rsidTr="00935264">
        <w:trPr>
          <w:jc w:val="center"/>
        </w:trPr>
        <w:tc>
          <w:tcPr>
            <w:tcW w:w="3482" w:type="dxa"/>
            <w:tcBorders>
              <w:bottom w:val="single" w:sz="12" w:space="0" w:color="auto"/>
            </w:tcBorders>
          </w:tcPr>
          <w:p w:rsidR="00DE5BBE" w:rsidRPr="009563D2" w:rsidRDefault="00DE5BBE" w:rsidP="00935264">
            <w:pPr>
              <w:autoSpaceDE w:val="0"/>
              <w:autoSpaceDN w:val="0"/>
              <w:adjustRightInd w:val="0"/>
              <w:rPr>
                <w:sz w:val="18"/>
                <w:szCs w:val="18"/>
              </w:rPr>
            </w:pPr>
            <w:r w:rsidRPr="009563D2">
              <w:rPr>
                <w:sz w:val="18"/>
                <w:szCs w:val="18"/>
              </w:rPr>
              <w:t>Housing preference</w:t>
            </w:r>
          </w:p>
        </w:tc>
        <w:tc>
          <w:tcPr>
            <w:tcW w:w="1480" w:type="dxa"/>
            <w:tcBorders>
              <w:bottom w:val="single" w:sz="12" w:space="0" w:color="auto"/>
            </w:tcBorders>
          </w:tcPr>
          <w:p w:rsidR="00DE5BBE" w:rsidRPr="009563D2" w:rsidRDefault="00DE5BBE" w:rsidP="00935264">
            <w:pPr>
              <w:rPr>
                <w:sz w:val="18"/>
                <w:szCs w:val="18"/>
              </w:rPr>
            </w:pPr>
            <w:r w:rsidRPr="009563D2">
              <w:rPr>
                <w:sz w:val="18"/>
                <w:szCs w:val="18"/>
              </w:rPr>
              <w:t>5</w:t>
            </w:r>
          </w:p>
        </w:tc>
        <w:tc>
          <w:tcPr>
            <w:tcW w:w="992" w:type="dxa"/>
            <w:tcBorders>
              <w:bottom w:val="single" w:sz="12" w:space="0" w:color="auto"/>
            </w:tcBorders>
          </w:tcPr>
          <w:p w:rsidR="00DE5BBE" w:rsidRPr="009563D2" w:rsidRDefault="00DE5BBE" w:rsidP="00935264">
            <w:pPr>
              <w:rPr>
                <w:sz w:val="18"/>
                <w:szCs w:val="18"/>
              </w:rPr>
            </w:pPr>
            <w:r w:rsidRPr="009563D2">
              <w:rPr>
                <w:sz w:val="18"/>
                <w:szCs w:val="18"/>
              </w:rPr>
              <w:t>0.93</w:t>
            </w:r>
          </w:p>
        </w:tc>
        <w:tc>
          <w:tcPr>
            <w:tcW w:w="1120" w:type="dxa"/>
            <w:tcBorders>
              <w:bottom w:val="single" w:sz="12" w:space="0" w:color="auto"/>
            </w:tcBorders>
          </w:tcPr>
          <w:p w:rsidR="00DE5BBE" w:rsidRPr="009563D2" w:rsidRDefault="00DE5BBE" w:rsidP="00935264">
            <w:pPr>
              <w:rPr>
                <w:sz w:val="18"/>
                <w:szCs w:val="18"/>
              </w:rPr>
            </w:pPr>
            <w:r w:rsidRPr="009563D2">
              <w:rPr>
                <w:sz w:val="18"/>
                <w:szCs w:val="18"/>
              </w:rPr>
              <w:t>0.95</w:t>
            </w:r>
          </w:p>
        </w:tc>
        <w:tc>
          <w:tcPr>
            <w:tcW w:w="723" w:type="dxa"/>
            <w:tcBorders>
              <w:bottom w:val="single" w:sz="12" w:space="0" w:color="auto"/>
            </w:tcBorders>
          </w:tcPr>
          <w:p w:rsidR="00DE5BBE" w:rsidRPr="009563D2" w:rsidRDefault="00DE5BBE" w:rsidP="00935264">
            <w:pPr>
              <w:rPr>
                <w:sz w:val="18"/>
                <w:szCs w:val="18"/>
              </w:rPr>
            </w:pPr>
            <w:r w:rsidRPr="009563D2">
              <w:rPr>
                <w:sz w:val="18"/>
                <w:szCs w:val="18"/>
              </w:rPr>
              <w:t>0.78</w:t>
            </w:r>
          </w:p>
        </w:tc>
      </w:tr>
    </w:tbl>
    <w:p w:rsidR="00DE5BBE" w:rsidRPr="00E22183" w:rsidRDefault="00DE5BBE" w:rsidP="00E22183">
      <w:pPr>
        <w:jc w:val="center"/>
        <w:rPr>
          <w:rFonts w:ascii="Times New Roman" w:hAnsi="Times New Roman" w:cs="Times New Roman"/>
          <w:i/>
          <w:sz w:val="18"/>
          <w:szCs w:val="18"/>
        </w:rPr>
      </w:pPr>
      <w:r w:rsidRPr="009563D2">
        <w:rPr>
          <w:rFonts w:ascii="Times New Roman" w:hAnsi="Times New Roman" w:cs="Times New Roman"/>
          <w:i/>
          <w:sz w:val="18"/>
          <w:szCs w:val="18"/>
        </w:rPr>
        <w:t xml:space="preserve">Note: CA = Cronbach’s alpha; CR = composite reliability; AVE = average variance </w:t>
      </w:r>
      <w:proofErr w:type="gramStart"/>
      <w:r w:rsidRPr="009563D2">
        <w:rPr>
          <w:rFonts w:ascii="Times New Roman" w:hAnsi="Times New Roman" w:cs="Times New Roman"/>
          <w:i/>
          <w:sz w:val="18"/>
          <w:szCs w:val="18"/>
        </w:rPr>
        <w:t>extracted,.</w:t>
      </w:r>
      <w:proofErr w:type="gramEnd"/>
    </w:p>
    <w:p w:rsidR="00DE5BBE" w:rsidRDefault="00DE5BBE" w:rsidP="00E22183">
      <w:pPr>
        <w:spacing w:line="240" w:lineRule="auto"/>
        <w:jc w:val="both"/>
        <w:rPr>
          <w:rFonts w:ascii="Times New Roman" w:hAnsi="Times New Roman"/>
          <w:sz w:val="24"/>
          <w:szCs w:val="24"/>
        </w:rPr>
      </w:pPr>
      <w:r w:rsidRPr="006675C4">
        <w:rPr>
          <w:rFonts w:ascii="Times New Roman" w:hAnsi="Times New Roman"/>
          <w:sz w:val="24"/>
          <w:szCs w:val="24"/>
        </w:rPr>
        <w:t>We also investigated discriminant validity through examining shared variances among variables</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&lt;EndNote&gt;&lt;Cite&gt;&lt;Author&gt;Fornell&lt;/Author&gt;&lt;Year&gt;1981&lt;/Year&gt;&lt;RecNum&gt;4060&lt;/RecNum&gt;&lt;DisplayText&gt;(Fornell &amp;amp; Larcker, 1981)&lt;/DisplayText&gt;&lt;record&gt;&lt;rec-number&gt;4060&lt;/rec-number&gt;&lt;foreign-keys&gt;&lt;key app="EN" db-id="900edwzvlz5zfoeradsxtdxf2swapvrr2ddd" timestamp="1554624352"&gt;4060&lt;/key&gt;&lt;/foreign-keys&gt;&lt;ref-type name="Journal Article"&gt;17&lt;/ref-type&gt;&lt;contributors&gt;&lt;authors&gt;&lt;author&gt;Fornell, Claes&lt;/author&gt;&lt;author&gt;Larcker, David 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research&lt;/full-title&gt;&lt;/periodical&gt;&lt;pages&gt;39-50&lt;/pages&gt;&lt;volume&gt;18&lt;/volume&gt;&lt;dates&gt;&lt;year&gt;1981&lt;/year&gt;&lt;/dates&gt;&lt;isbn&gt;0022-2437&lt;/isbn&gt;&lt;urls&gt;&lt;/urls&gt;&lt;/record&gt;&lt;/Cite&gt;&lt;/EndNote&gt;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(Fornell &amp; Larcker, 1981)</w:t>
      </w:r>
      <w:r>
        <w:rPr>
          <w:rFonts w:ascii="Times New Roman" w:hAnsi="Times New Roman"/>
          <w:sz w:val="24"/>
          <w:szCs w:val="24"/>
        </w:rPr>
        <w:fldChar w:fldCharType="end"/>
      </w:r>
      <w:r w:rsidRPr="006675C4">
        <w:rPr>
          <w:rFonts w:ascii="Times New Roman" w:hAnsi="Times New Roman"/>
          <w:sz w:val="24"/>
          <w:szCs w:val="24"/>
        </w:rPr>
        <w:t xml:space="preserve">. </w:t>
      </w:r>
      <w:r w:rsidRPr="001115CF">
        <w:rPr>
          <w:rFonts w:ascii="Times New Roman" w:hAnsi="Times New Roman"/>
          <w:sz w:val="24"/>
          <w:szCs w:val="24"/>
        </w:rPr>
        <w:t>According to Table 3, none of the correlations between constructs were less excess of the square roots of the AVE, indicating that discriminant validity was satisfied</w:t>
      </w:r>
      <w:r>
        <w:rPr>
          <w:rFonts w:ascii="Times New Roman" w:hAnsi="Times New Roman"/>
          <w:sz w:val="24"/>
          <w:szCs w:val="24"/>
        </w:rPr>
        <w:t xml:space="preserve">. Furthermore, results of Table 4 indicates the item loading and cross-loading of all the items. Findings suggested that all the items were loaded in their corresponding columns and poorly loaded in other columns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&lt;EndNote&gt;&lt;Cite&gt;&lt;Author&gt;Rasheed&lt;/Author&gt;&lt;Year&gt;2020&lt;/Year&gt;&lt;RecNum&gt;4673&lt;/RecNum&gt;&lt;DisplayText&gt;(Rasheed et al., 2020)&lt;/DisplayText&gt;&lt;record&gt;&lt;rec-number&gt;4673&lt;/rec-number&gt;&lt;foreign-keys&gt;&lt;key app="EN" db-id="900edwzvlz5zfoeradsxtdxf2swapvrr2ddd" timestamp="1613568576"&gt;4673&lt;/key&gt;&lt;/foreign-keys&gt;&lt;ref-type name="Journal Article"&gt;17&lt;/ref-type&gt;&lt;contributors&gt;&lt;authors&gt;&lt;author&gt;Rasheed, Muhammad Imran&lt;/author&gt;&lt;author&gt;Malik, Muhammad Jawad&lt;/author&gt;&lt;author&gt;Pitafi, Abdul Hameed&lt;/author&gt;&lt;author&gt;Iqbal, Jawad&lt;/author&gt;&lt;author&gt;Anser, Muhammad Khalid&lt;/author&gt;&lt;author&gt;Abbas, Mazhar&lt;/author&gt;&lt;/authors&gt;&lt;/contributors&gt;&lt;titles&gt;&lt;title&gt;Usage of social media, student engagement, and creativity: The role of knowledge sharing behavior and cyberbullying&lt;/title&gt;&lt;secondary-title&gt;Computers &amp;amp; Education&lt;/secondary-title&gt;&lt;/titles&gt;&lt;periodical&gt;&lt;full-title&gt;Computers &amp;amp; Education&lt;/full-title&gt;&lt;/periodical&gt;&lt;pages&gt;104002&lt;/pages&gt;&lt;volume&gt;159&lt;/volume&gt;&lt;dates&gt;&lt;year&gt;2020&lt;/year&gt;&lt;/dates&gt;&lt;isbn&gt;0360-1315&lt;/isbn&gt;&lt;urls&gt;&lt;/urls&gt;&lt;/record&gt;&lt;/Cite&gt;&lt;/EndNote&gt;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(Rasheed et al., 2020)</w:t>
      </w:r>
      <w:r>
        <w:rPr>
          <w:rFonts w:ascii="Times New Roman" w:hAnsi="Times New Roman"/>
          <w:sz w:val="24"/>
          <w:szCs w:val="24"/>
        </w:rPr>
        <w:fldChar w:fldCharType="end"/>
      </w:r>
      <w:r>
        <w:rPr>
          <w:rFonts w:ascii="Times New Roman" w:hAnsi="Times New Roman"/>
          <w:sz w:val="24"/>
          <w:szCs w:val="24"/>
        </w:rPr>
        <w:t xml:space="preserve">.   </w:t>
      </w:r>
      <w:r w:rsidRPr="001115CF">
        <w:rPr>
          <w:rFonts w:ascii="Times New Roman" w:hAnsi="Times New Roman"/>
          <w:sz w:val="24"/>
          <w:szCs w:val="24"/>
        </w:rPr>
        <w:t>As a result, we determined that the measurement model had appropriate convergent validity, discriminant validity, and reliability.</w:t>
      </w:r>
    </w:p>
    <w:p w:rsidR="00DE5BBE" w:rsidRPr="008F5A39" w:rsidRDefault="00DE5BBE" w:rsidP="00DE5BBE">
      <w:pPr>
        <w:jc w:val="center"/>
        <w:rPr>
          <w:rFonts w:ascii="Times New Roman" w:hAnsi="Times New Roman" w:cs="Times New Roman"/>
          <w:i/>
          <w:sz w:val="24"/>
          <w:szCs w:val="24"/>
        </w:rPr>
      </w:pPr>
      <w:r>
        <w:rPr>
          <w:rFonts w:ascii="Times New Roman" w:hAnsi="Times New Roman" w:cs="Times New Roman"/>
          <w:b/>
          <w:i/>
          <w:sz w:val="24"/>
          <w:szCs w:val="24"/>
        </w:rPr>
        <w:t>Table 3</w:t>
      </w:r>
      <w:r w:rsidRPr="00197315">
        <w:rPr>
          <w:rFonts w:ascii="Times New Roman" w:hAnsi="Times New Roman" w:cs="Times New Roman"/>
          <w:b/>
          <w:i/>
          <w:sz w:val="24"/>
          <w:szCs w:val="24"/>
        </w:rPr>
        <w:t xml:space="preserve">. </w:t>
      </w:r>
      <w:r w:rsidRPr="008F5A39">
        <w:rPr>
          <w:rFonts w:ascii="Times New Roman" w:hAnsi="Times New Roman" w:cs="Times New Roman"/>
          <w:i/>
          <w:sz w:val="24"/>
          <w:szCs w:val="24"/>
        </w:rPr>
        <w:t>Means, stand</w:t>
      </w:r>
      <w:r>
        <w:rPr>
          <w:rFonts w:ascii="Times New Roman" w:hAnsi="Times New Roman" w:cs="Times New Roman"/>
          <w:i/>
          <w:sz w:val="24"/>
          <w:szCs w:val="24"/>
        </w:rPr>
        <w:t>ard deviation, and correlations</w:t>
      </w:r>
    </w:p>
    <w:tbl>
      <w:tblPr>
        <w:tblW w:w="10617" w:type="dxa"/>
        <w:jc w:val="center"/>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2395"/>
        <w:gridCol w:w="851"/>
        <w:gridCol w:w="992"/>
        <w:gridCol w:w="850"/>
        <w:gridCol w:w="709"/>
        <w:gridCol w:w="718"/>
        <w:gridCol w:w="700"/>
        <w:gridCol w:w="992"/>
        <w:gridCol w:w="567"/>
        <w:gridCol w:w="709"/>
        <w:gridCol w:w="567"/>
        <w:gridCol w:w="567"/>
      </w:tblGrid>
      <w:tr w:rsidR="00DE5BBE" w:rsidRPr="009563D2" w:rsidTr="00935264">
        <w:trPr>
          <w:cantSplit/>
          <w:jc w:val="center"/>
        </w:trPr>
        <w:tc>
          <w:tcPr>
            <w:tcW w:w="2395" w:type="dxa"/>
            <w:tcBorders>
              <w:top w:val="single" w:sz="12" w:space="0" w:color="auto"/>
              <w:bottom w:val="single" w:sz="12" w:space="0" w:color="auto"/>
            </w:tcBorders>
            <w:shd w:val="clear" w:color="auto" w:fill="FFFFFF"/>
            <w:vAlign w:val="center"/>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9563D2">
              <w:rPr>
                <w:rFonts w:ascii="Times New Roman" w:hAnsi="Times New Roman" w:cs="Times New Roman"/>
                <w:b/>
                <w:sz w:val="18"/>
                <w:szCs w:val="18"/>
              </w:rPr>
              <w:t>Variable</w:t>
            </w:r>
            <w:r w:rsidRPr="009563D2">
              <w:rPr>
                <w:rFonts w:ascii="Times New Roman" w:hAnsi="Times New Roman" w:cs="Times New Roman"/>
                <w:sz w:val="18"/>
                <w:szCs w:val="18"/>
              </w:rPr>
              <w:tab/>
            </w:r>
            <w:r w:rsidRPr="009563D2">
              <w:rPr>
                <w:rFonts w:ascii="Times New Roman" w:hAnsi="Times New Roman" w:cs="Times New Roman"/>
                <w:sz w:val="18"/>
                <w:szCs w:val="18"/>
              </w:rPr>
              <w:tab/>
            </w:r>
            <w:r w:rsidRPr="009563D2">
              <w:rPr>
                <w:rFonts w:ascii="Times New Roman" w:hAnsi="Times New Roman" w:cs="Times New Roman"/>
                <w:sz w:val="18"/>
                <w:szCs w:val="18"/>
              </w:rPr>
              <w:tab/>
            </w:r>
            <w:r w:rsidRPr="009563D2">
              <w:rPr>
                <w:rFonts w:ascii="Times New Roman" w:hAnsi="Times New Roman" w:cs="Times New Roman"/>
                <w:sz w:val="18"/>
                <w:szCs w:val="18"/>
              </w:rPr>
              <w:tab/>
            </w:r>
          </w:p>
        </w:tc>
        <w:tc>
          <w:tcPr>
            <w:tcW w:w="851"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9563D2">
              <w:rPr>
                <w:rFonts w:ascii="Times New Roman" w:hAnsi="Times New Roman" w:cs="Times New Roman"/>
                <w:b/>
                <w:color w:val="000000"/>
                <w:sz w:val="18"/>
                <w:szCs w:val="18"/>
              </w:rPr>
              <w:t>M</w:t>
            </w:r>
          </w:p>
        </w:tc>
        <w:tc>
          <w:tcPr>
            <w:tcW w:w="992"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9563D2">
              <w:rPr>
                <w:rFonts w:ascii="Times New Roman" w:hAnsi="Times New Roman" w:cs="Times New Roman"/>
                <w:b/>
                <w:color w:val="000000"/>
                <w:sz w:val="18"/>
                <w:szCs w:val="18"/>
              </w:rPr>
              <w:t>SD</w:t>
            </w:r>
          </w:p>
        </w:tc>
        <w:tc>
          <w:tcPr>
            <w:tcW w:w="850"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9563D2">
              <w:rPr>
                <w:rFonts w:ascii="Times New Roman" w:hAnsi="Times New Roman" w:cs="Times New Roman"/>
                <w:b/>
                <w:color w:val="000000"/>
                <w:sz w:val="18"/>
                <w:szCs w:val="18"/>
              </w:rPr>
              <w:t>1</w:t>
            </w:r>
          </w:p>
        </w:tc>
        <w:tc>
          <w:tcPr>
            <w:tcW w:w="709"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9563D2">
              <w:rPr>
                <w:rFonts w:ascii="Times New Roman" w:hAnsi="Times New Roman" w:cs="Times New Roman"/>
                <w:b/>
                <w:color w:val="000000"/>
                <w:sz w:val="18"/>
                <w:szCs w:val="18"/>
              </w:rPr>
              <w:t>2</w:t>
            </w:r>
          </w:p>
        </w:tc>
        <w:tc>
          <w:tcPr>
            <w:tcW w:w="718"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9563D2">
              <w:rPr>
                <w:rFonts w:ascii="Times New Roman" w:hAnsi="Times New Roman" w:cs="Times New Roman"/>
                <w:b/>
                <w:color w:val="000000"/>
                <w:sz w:val="18"/>
                <w:szCs w:val="18"/>
              </w:rPr>
              <w:t>3</w:t>
            </w:r>
          </w:p>
        </w:tc>
        <w:tc>
          <w:tcPr>
            <w:tcW w:w="700"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9563D2">
              <w:rPr>
                <w:rFonts w:ascii="Times New Roman" w:hAnsi="Times New Roman" w:cs="Times New Roman"/>
                <w:b/>
                <w:color w:val="000000"/>
                <w:sz w:val="18"/>
                <w:szCs w:val="18"/>
              </w:rPr>
              <w:t>4</w:t>
            </w:r>
          </w:p>
        </w:tc>
        <w:tc>
          <w:tcPr>
            <w:tcW w:w="992"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9563D2">
              <w:rPr>
                <w:rFonts w:ascii="Times New Roman" w:hAnsi="Times New Roman" w:cs="Times New Roman"/>
                <w:b/>
                <w:color w:val="000000"/>
                <w:sz w:val="18"/>
                <w:szCs w:val="18"/>
              </w:rPr>
              <w:t>5</w:t>
            </w:r>
          </w:p>
        </w:tc>
        <w:tc>
          <w:tcPr>
            <w:tcW w:w="567"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9563D2">
              <w:rPr>
                <w:rFonts w:ascii="Times New Roman" w:hAnsi="Times New Roman" w:cs="Times New Roman"/>
                <w:b/>
                <w:color w:val="000000"/>
                <w:sz w:val="18"/>
                <w:szCs w:val="18"/>
              </w:rPr>
              <w:t>6</w:t>
            </w:r>
          </w:p>
        </w:tc>
        <w:tc>
          <w:tcPr>
            <w:tcW w:w="709"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9563D2">
              <w:rPr>
                <w:rFonts w:ascii="Times New Roman" w:hAnsi="Times New Roman" w:cs="Times New Roman"/>
                <w:b/>
                <w:color w:val="000000"/>
                <w:sz w:val="18"/>
                <w:szCs w:val="18"/>
              </w:rPr>
              <w:t>7</w:t>
            </w:r>
          </w:p>
        </w:tc>
        <w:tc>
          <w:tcPr>
            <w:tcW w:w="567"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9563D2">
              <w:rPr>
                <w:rFonts w:ascii="Times New Roman" w:hAnsi="Times New Roman" w:cs="Times New Roman"/>
                <w:b/>
                <w:color w:val="000000"/>
                <w:sz w:val="18"/>
                <w:szCs w:val="18"/>
              </w:rPr>
              <w:t>8</w:t>
            </w:r>
          </w:p>
        </w:tc>
        <w:tc>
          <w:tcPr>
            <w:tcW w:w="567"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9563D2">
              <w:rPr>
                <w:rFonts w:ascii="Times New Roman" w:hAnsi="Times New Roman" w:cs="Times New Roman"/>
                <w:b/>
                <w:color w:val="000000"/>
                <w:sz w:val="18"/>
                <w:szCs w:val="18"/>
              </w:rPr>
              <w:t>9</w:t>
            </w:r>
          </w:p>
        </w:tc>
      </w:tr>
      <w:tr w:rsidR="00DE5BBE" w:rsidRPr="009563D2" w:rsidTr="00935264">
        <w:trPr>
          <w:cantSplit/>
          <w:jc w:val="center"/>
        </w:trPr>
        <w:tc>
          <w:tcPr>
            <w:tcW w:w="2395" w:type="dxa"/>
            <w:tcBorders>
              <w:top w:val="single" w:sz="12" w:space="0" w:color="auto"/>
            </w:tcBorders>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1. Environmental factor</w:t>
            </w:r>
          </w:p>
        </w:tc>
        <w:tc>
          <w:tcPr>
            <w:tcW w:w="851" w:type="dxa"/>
            <w:tcBorders>
              <w:top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color w:val="000000"/>
                <w:sz w:val="18"/>
                <w:szCs w:val="18"/>
              </w:rPr>
              <w:t>4.077</w:t>
            </w:r>
          </w:p>
        </w:tc>
        <w:tc>
          <w:tcPr>
            <w:tcW w:w="992" w:type="dxa"/>
            <w:tcBorders>
              <w:top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color w:val="000000"/>
                <w:sz w:val="18"/>
                <w:szCs w:val="18"/>
              </w:rPr>
              <w:t>0.862</w:t>
            </w:r>
          </w:p>
        </w:tc>
        <w:tc>
          <w:tcPr>
            <w:tcW w:w="850" w:type="dxa"/>
            <w:tcBorders>
              <w:top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9563D2">
              <w:rPr>
                <w:rFonts w:ascii="Times New Roman" w:hAnsi="Times New Roman" w:cs="Times New Roman"/>
                <w:b/>
                <w:color w:val="000000"/>
                <w:sz w:val="18"/>
                <w:szCs w:val="18"/>
              </w:rPr>
              <w:t>0.81</w:t>
            </w:r>
          </w:p>
        </w:tc>
        <w:tc>
          <w:tcPr>
            <w:tcW w:w="709" w:type="dxa"/>
            <w:tcBorders>
              <w:top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718" w:type="dxa"/>
            <w:tcBorders>
              <w:top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700" w:type="dxa"/>
            <w:tcBorders>
              <w:top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992" w:type="dxa"/>
            <w:tcBorders>
              <w:top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567" w:type="dxa"/>
            <w:tcBorders>
              <w:top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709" w:type="dxa"/>
            <w:tcBorders>
              <w:top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567" w:type="dxa"/>
            <w:tcBorders>
              <w:top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567" w:type="dxa"/>
            <w:tcBorders>
              <w:top w:val="single" w:sz="12" w:space="0" w:color="auto"/>
            </w:tcBorders>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r>
      <w:tr w:rsidR="00DE5BBE" w:rsidRPr="009563D2" w:rsidTr="00935264">
        <w:trPr>
          <w:cantSplit/>
          <w:jc w:val="center"/>
        </w:trPr>
        <w:tc>
          <w:tcPr>
            <w:tcW w:w="2395"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2. Property physical factor</w:t>
            </w:r>
          </w:p>
        </w:tc>
        <w:tc>
          <w:tcPr>
            <w:tcW w:w="851"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color w:val="000000"/>
                <w:sz w:val="18"/>
                <w:szCs w:val="18"/>
              </w:rPr>
              <w:t>3.46</w:t>
            </w:r>
          </w:p>
        </w:tc>
        <w:tc>
          <w:tcPr>
            <w:tcW w:w="992"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color w:val="000000"/>
                <w:sz w:val="18"/>
                <w:szCs w:val="18"/>
              </w:rPr>
              <w:t>1.20</w:t>
            </w:r>
          </w:p>
        </w:tc>
        <w:tc>
          <w:tcPr>
            <w:tcW w:w="850"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color w:val="000000"/>
                <w:sz w:val="18"/>
                <w:szCs w:val="18"/>
              </w:rPr>
              <w:t>0.014</w:t>
            </w:r>
          </w:p>
        </w:tc>
        <w:tc>
          <w:tcPr>
            <w:tcW w:w="709"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9563D2">
              <w:rPr>
                <w:rFonts w:ascii="Times New Roman" w:hAnsi="Times New Roman" w:cs="Times New Roman"/>
                <w:b/>
                <w:color w:val="000000"/>
                <w:sz w:val="18"/>
                <w:szCs w:val="18"/>
              </w:rPr>
              <w:t>0.90</w:t>
            </w:r>
          </w:p>
        </w:tc>
        <w:tc>
          <w:tcPr>
            <w:tcW w:w="718" w:type="dxa"/>
            <w:shd w:val="clear" w:color="auto" w:fill="FFFFFF"/>
          </w:tcPr>
          <w:p w:rsidR="00DE5BBE" w:rsidRPr="009563D2" w:rsidRDefault="00DE5BBE" w:rsidP="00935264">
            <w:pPr>
              <w:autoSpaceDE w:val="0"/>
              <w:autoSpaceDN w:val="0"/>
              <w:adjustRightInd w:val="0"/>
              <w:spacing w:after="0" w:line="240" w:lineRule="auto"/>
              <w:ind w:right="60"/>
              <w:rPr>
                <w:rFonts w:ascii="Times New Roman" w:hAnsi="Times New Roman" w:cs="Times New Roman"/>
                <w:color w:val="000000"/>
                <w:sz w:val="18"/>
                <w:szCs w:val="18"/>
              </w:rPr>
            </w:pPr>
          </w:p>
        </w:tc>
        <w:tc>
          <w:tcPr>
            <w:tcW w:w="700"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992"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567"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709"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567"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567"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r>
      <w:tr w:rsidR="00DE5BBE" w:rsidRPr="009563D2" w:rsidTr="00935264">
        <w:trPr>
          <w:cantSplit/>
          <w:trHeight w:val="215"/>
          <w:jc w:val="center"/>
        </w:trPr>
        <w:tc>
          <w:tcPr>
            <w:tcW w:w="2395"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3. Distance factor</w:t>
            </w:r>
          </w:p>
        </w:tc>
        <w:tc>
          <w:tcPr>
            <w:tcW w:w="851"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color w:val="000000"/>
                <w:sz w:val="18"/>
                <w:szCs w:val="18"/>
              </w:rPr>
              <w:t>4.26</w:t>
            </w:r>
          </w:p>
        </w:tc>
        <w:tc>
          <w:tcPr>
            <w:tcW w:w="992"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color w:val="000000"/>
                <w:sz w:val="18"/>
                <w:szCs w:val="18"/>
              </w:rPr>
              <w:t>0.77</w:t>
            </w:r>
          </w:p>
        </w:tc>
        <w:tc>
          <w:tcPr>
            <w:tcW w:w="850"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0.120*</w:t>
            </w:r>
          </w:p>
        </w:tc>
        <w:tc>
          <w:tcPr>
            <w:tcW w:w="709"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0.030</w:t>
            </w:r>
          </w:p>
        </w:tc>
        <w:tc>
          <w:tcPr>
            <w:tcW w:w="718" w:type="dxa"/>
            <w:shd w:val="clear" w:color="auto" w:fill="FFFFFF"/>
          </w:tcPr>
          <w:p w:rsidR="00DE5BBE" w:rsidRPr="009563D2" w:rsidRDefault="00DE5BBE" w:rsidP="00935264">
            <w:pPr>
              <w:spacing w:after="0" w:line="240" w:lineRule="auto"/>
              <w:rPr>
                <w:rFonts w:ascii="Times New Roman" w:hAnsi="Times New Roman" w:cs="Times New Roman"/>
                <w:b/>
                <w:sz w:val="18"/>
                <w:szCs w:val="18"/>
              </w:rPr>
            </w:pPr>
            <w:r w:rsidRPr="009563D2">
              <w:rPr>
                <w:rFonts w:ascii="Times New Roman" w:hAnsi="Times New Roman" w:cs="Times New Roman"/>
                <w:b/>
                <w:sz w:val="18"/>
                <w:szCs w:val="18"/>
              </w:rPr>
              <w:t>0.84</w:t>
            </w:r>
          </w:p>
        </w:tc>
        <w:tc>
          <w:tcPr>
            <w:tcW w:w="700"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992"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567"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709"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567"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567"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r>
      <w:tr w:rsidR="00DE5BBE" w:rsidRPr="009563D2" w:rsidTr="00935264">
        <w:trPr>
          <w:cantSplit/>
          <w:trHeight w:val="235"/>
          <w:jc w:val="center"/>
        </w:trPr>
        <w:tc>
          <w:tcPr>
            <w:tcW w:w="2395"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4.</w:t>
            </w:r>
            <w:r w:rsidRPr="009563D2">
              <w:rPr>
                <w:rFonts w:ascii="Times New Roman" w:hAnsi="Times New Roman" w:cs="Times New Roman"/>
                <w:iCs/>
                <w:sz w:val="18"/>
                <w:szCs w:val="18"/>
              </w:rPr>
              <w:t xml:space="preserve"> Facilities</w:t>
            </w:r>
          </w:p>
        </w:tc>
        <w:tc>
          <w:tcPr>
            <w:tcW w:w="851"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color w:val="000000"/>
                <w:sz w:val="18"/>
                <w:szCs w:val="18"/>
              </w:rPr>
              <w:t>2.46</w:t>
            </w:r>
          </w:p>
        </w:tc>
        <w:tc>
          <w:tcPr>
            <w:tcW w:w="992"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color w:val="000000"/>
                <w:sz w:val="18"/>
                <w:szCs w:val="18"/>
              </w:rPr>
              <w:t>0.97</w:t>
            </w:r>
          </w:p>
        </w:tc>
        <w:tc>
          <w:tcPr>
            <w:tcW w:w="850"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-0.117*</w:t>
            </w:r>
          </w:p>
        </w:tc>
        <w:tc>
          <w:tcPr>
            <w:tcW w:w="709"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-0.050</w:t>
            </w:r>
          </w:p>
        </w:tc>
        <w:tc>
          <w:tcPr>
            <w:tcW w:w="718"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-0.099*</w:t>
            </w:r>
          </w:p>
        </w:tc>
        <w:tc>
          <w:tcPr>
            <w:tcW w:w="700"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w:t>
            </w:r>
            <w:r w:rsidRPr="009563D2">
              <w:rPr>
                <w:rFonts w:ascii="Times New Roman" w:hAnsi="Times New Roman" w:cs="Times New Roman"/>
                <w:b/>
                <w:sz w:val="18"/>
                <w:szCs w:val="18"/>
              </w:rPr>
              <w:t>.92</w:t>
            </w:r>
          </w:p>
        </w:tc>
        <w:tc>
          <w:tcPr>
            <w:tcW w:w="992" w:type="dxa"/>
            <w:shd w:val="clear" w:color="auto" w:fill="FFFFFF"/>
          </w:tcPr>
          <w:p w:rsidR="00DE5BBE" w:rsidRPr="009563D2" w:rsidRDefault="00DE5BBE" w:rsidP="00935264">
            <w:pPr>
              <w:spacing w:after="0" w:line="240" w:lineRule="auto"/>
              <w:jc w:val="center"/>
              <w:rPr>
                <w:rFonts w:ascii="Times New Roman" w:hAnsi="Times New Roman" w:cs="Times New Roman"/>
                <w:sz w:val="18"/>
                <w:szCs w:val="18"/>
              </w:rPr>
            </w:pPr>
          </w:p>
        </w:tc>
        <w:tc>
          <w:tcPr>
            <w:tcW w:w="567"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709"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567"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567"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r>
      <w:tr w:rsidR="00DE5BBE" w:rsidRPr="009563D2" w:rsidTr="00935264">
        <w:trPr>
          <w:cantSplit/>
          <w:jc w:val="center"/>
        </w:trPr>
        <w:tc>
          <w:tcPr>
            <w:tcW w:w="2395"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5</w:t>
            </w:r>
            <w:r w:rsidRPr="009563D2">
              <w:rPr>
                <w:rFonts w:ascii="Times New Roman" w:hAnsi="Times New Roman" w:cs="Times New Roman"/>
                <w:iCs/>
                <w:sz w:val="18"/>
                <w:szCs w:val="18"/>
              </w:rPr>
              <w:t xml:space="preserve"> Financial Factor</w:t>
            </w:r>
          </w:p>
        </w:tc>
        <w:tc>
          <w:tcPr>
            <w:tcW w:w="851"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color w:val="000000"/>
                <w:sz w:val="18"/>
                <w:szCs w:val="18"/>
              </w:rPr>
              <w:t>4.18</w:t>
            </w:r>
          </w:p>
        </w:tc>
        <w:tc>
          <w:tcPr>
            <w:tcW w:w="992"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color w:val="000000"/>
                <w:sz w:val="18"/>
                <w:szCs w:val="18"/>
              </w:rPr>
              <w:t>0.86</w:t>
            </w:r>
          </w:p>
        </w:tc>
        <w:tc>
          <w:tcPr>
            <w:tcW w:w="850"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0.193**</w:t>
            </w:r>
          </w:p>
        </w:tc>
        <w:tc>
          <w:tcPr>
            <w:tcW w:w="709"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0.120*</w:t>
            </w:r>
          </w:p>
        </w:tc>
        <w:tc>
          <w:tcPr>
            <w:tcW w:w="718"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0.279**</w:t>
            </w:r>
          </w:p>
        </w:tc>
        <w:tc>
          <w:tcPr>
            <w:tcW w:w="700"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0.046</w:t>
            </w:r>
          </w:p>
        </w:tc>
        <w:tc>
          <w:tcPr>
            <w:tcW w:w="992" w:type="dxa"/>
            <w:shd w:val="clear" w:color="auto" w:fill="FFFFFF"/>
          </w:tcPr>
          <w:p w:rsidR="00DE5BBE" w:rsidRPr="009563D2" w:rsidRDefault="00DE5BBE" w:rsidP="00935264">
            <w:pPr>
              <w:spacing w:after="0" w:line="240" w:lineRule="auto"/>
              <w:rPr>
                <w:rFonts w:ascii="Times New Roman" w:hAnsi="Times New Roman" w:cs="Times New Roman"/>
                <w:b/>
                <w:sz w:val="18"/>
                <w:szCs w:val="18"/>
              </w:rPr>
            </w:pPr>
            <w:r w:rsidRPr="009563D2">
              <w:rPr>
                <w:rFonts w:ascii="Times New Roman" w:hAnsi="Times New Roman" w:cs="Times New Roman"/>
                <w:b/>
                <w:sz w:val="18"/>
                <w:szCs w:val="18"/>
              </w:rPr>
              <w:t>0.86</w:t>
            </w:r>
          </w:p>
        </w:tc>
        <w:tc>
          <w:tcPr>
            <w:tcW w:w="567"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709"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567"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567"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r>
      <w:tr w:rsidR="00DE5BBE" w:rsidRPr="009563D2" w:rsidTr="00935264">
        <w:trPr>
          <w:cantSplit/>
          <w:jc w:val="center"/>
        </w:trPr>
        <w:tc>
          <w:tcPr>
            <w:tcW w:w="2395"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6.</w:t>
            </w:r>
            <w:r w:rsidRPr="009563D2">
              <w:rPr>
                <w:rFonts w:ascii="Times New Roman" w:hAnsi="Times New Roman" w:cs="Times New Roman"/>
                <w:iCs/>
                <w:sz w:val="18"/>
                <w:szCs w:val="18"/>
              </w:rPr>
              <w:t xml:space="preserve"> </w:t>
            </w:r>
            <w:r w:rsidRPr="009563D2">
              <w:rPr>
                <w:rFonts w:ascii="Times New Roman" w:hAnsi="Times New Roman" w:cs="Times New Roman"/>
                <w:sz w:val="18"/>
                <w:szCs w:val="18"/>
              </w:rPr>
              <w:t>Housing preference</w:t>
            </w:r>
          </w:p>
        </w:tc>
        <w:tc>
          <w:tcPr>
            <w:tcW w:w="851"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color w:val="000000"/>
                <w:sz w:val="18"/>
                <w:szCs w:val="18"/>
              </w:rPr>
              <w:t>4.08</w:t>
            </w:r>
          </w:p>
        </w:tc>
        <w:tc>
          <w:tcPr>
            <w:tcW w:w="992"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color w:val="000000"/>
                <w:sz w:val="18"/>
                <w:szCs w:val="18"/>
              </w:rPr>
              <w:t>0.66</w:t>
            </w:r>
          </w:p>
        </w:tc>
        <w:tc>
          <w:tcPr>
            <w:tcW w:w="850"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0.202**</w:t>
            </w:r>
          </w:p>
        </w:tc>
        <w:tc>
          <w:tcPr>
            <w:tcW w:w="709"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0.102*</w:t>
            </w:r>
          </w:p>
        </w:tc>
        <w:tc>
          <w:tcPr>
            <w:tcW w:w="718"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0.075</w:t>
            </w:r>
          </w:p>
        </w:tc>
        <w:tc>
          <w:tcPr>
            <w:tcW w:w="700"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0.120</w:t>
            </w:r>
          </w:p>
        </w:tc>
        <w:tc>
          <w:tcPr>
            <w:tcW w:w="992"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0.157*</w:t>
            </w:r>
          </w:p>
        </w:tc>
        <w:tc>
          <w:tcPr>
            <w:tcW w:w="567" w:type="dxa"/>
            <w:shd w:val="clear" w:color="auto" w:fill="FFFFFF"/>
          </w:tcPr>
          <w:p w:rsidR="00DE5BBE" w:rsidRPr="009563D2" w:rsidRDefault="00DE5BBE" w:rsidP="00935264">
            <w:pPr>
              <w:spacing w:after="0" w:line="240" w:lineRule="auto"/>
              <w:rPr>
                <w:rFonts w:ascii="Times New Roman" w:hAnsi="Times New Roman" w:cs="Times New Roman"/>
                <w:b/>
                <w:sz w:val="18"/>
                <w:szCs w:val="18"/>
              </w:rPr>
            </w:pPr>
            <w:r w:rsidRPr="009563D2">
              <w:rPr>
                <w:rFonts w:ascii="Times New Roman" w:hAnsi="Times New Roman" w:cs="Times New Roman"/>
                <w:b/>
                <w:sz w:val="18"/>
                <w:szCs w:val="18"/>
              </w:rPr>
              <w:t>0.88</w:t>
            </w:r>
          </w:p>
        </w:tc>
        <w:tc>
          <w:tcPr>
            <w:tcW w:w="709"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b/>
                <w:color w:val="000000"/>
                <w:sz w:val="18"/>
                <w:szCs w:val="18"/>
              </w:rPr>
            </w:pPr>
          </w:p>
        </w:tc>
        <w:tc>
          <w:tcPr>
            <w:tcW w:w="567"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c>
          <w:tcPr>
            <w:tcW w:w="567"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p>
        </w:tc>
      </w:tr>
      <w:tr w:rsidR="00DE5BBE" w:rsidRPr="009563D2" w:rsidTr="00935264">
        <w:trPr>
          <w:cantSplit/>
          <w:jc w:val="center"/>
        </w:trPr>
        <w:tc>
          <w:tcPr>
            <w:tcW w:w="2395"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7. Education</w:t>
            </w:r>
          </w:p>
        </w:tc>
        <w:tc>
          <w:tcPr>
            <w:tcW w:w="851"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b/>
                <w:color w:val="000000"/>
                <w:sz w:val="18"/>
                <w:szCs w:val="18"/>
              </w:rPr>
              <w:t>NA</w:t>
            </w:r>
          </w:p>
        </w:tc>
        <w:tc>
          <w:tcPr>
            <w:tcW w:w="992"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b/>
                <w:color w:val="000000"/>
                <w:sz w:val="18"/>
                <w:szCs w:val="18"/>
              </w:rPr>
              <w:t>NA</w:t>
            </w:r>
          </w:p>
        </w:tc>
        <w:tc>
          <w:tcPr>
            <w:tcW w:w="850"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0.013</w:t>
            </w:r>
          </w:p>
        </w:tc>
        <w:tc>
          <w:tcPr>
            <w:tcW w:w="709"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-0.023</w:t>
            </w:r>
          </w:p>
        </w:tc>
        <w:tc>
          <w:tcPr>
            <w:tcW w:w="718"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0.103</w:t>
            </w:r>
          </w:p>
        </w:tc>
        <w:tc>
          <w:tcPr>
            <w:tcW w:w="700"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0.039</w:t>
            </w:r>
          </w:p>
        </w:tc>
        <w:tc>
          <w:tcPr>
            <w:tcW w:w="992"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0.197**</w:t>
            </w:r>
          </w:p>
        </w:tc>
        <w:tc>
          <w:tcPr>
            <w:tcW w:w="567"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-0.040</w:t>
            </w:r>
          </w:p>
        </w:tc>
        <w:tc>
          <w:tcPr>
            <w:tcW w:w="709" w:type="dxa"/>
            <w:shd w:val="clear" w:color="auto" w:fill="FFFFFF"/>
          </w:tcPr>
          <w:p w:rsidR="00DE5BBE" w:rsidRPr="009563D2" w:rsidRDefault="00DE5BBE" w:rsidP="00935264">
            <w:pPr>
              <w:spacing w:after="0" w:line="240" w:lineRule="auto"/>
              <w:jc w:val="center"/>
              <w:rPr>
                <w:rFonts w:ascii="Times New Roman" w:hAnsi="Times New Roman" w:cs="Times New Roman"/>
                <w:sz w:val="18"/>
                <w:szCs w:val="18"/>
              </w:rPr>
            </w:pPr>
            <w:r w:rsidRPr="009563D2">
              <w:rPr>
                <w:rFonts w:ascii="Times New Roman" w:hAnsi="Times New Roman" w:cs="Times New Roman"/>
                <w:b/>
                <w:color w:val="000000"/>
                <w:sz w:val="18"/>
                <w:szCs w:val="18"/>
              </w:rPr>
              <w:t>NA</w:t>
            </w:r>
          </w:p>
        </w:tc>
        <w:tc>
          <w:tcPr>
            <w:tcW w:w="567" w:type="dxa"/>
            <w:shd w:val="clear" w:color="auto" w:fill="FFFFFF"/>
          </w:tcPr>
          <w:p w:rsidR="00DE5BBE" w:rsidRPr="009563D2" w:rsidRDefault="00DE5BBE" w:rsidP="00935264">
            <w:pPr>
              <w:spacing w:after="0" w:line="240" w:lineRule="auto"/>
              <w:jc w:val="center"/>
              <w:rPr>
                <w:rFonts w:ascii="Times New Roman" w:hAnsi="Times New Roman" w:cs="Times New Roman"/>
                <w:sz w:val="18"/>
                <w:szCs w:val="18"/>
              </w:rPr>
            </w:pPr>
          </w:p>
        </w:tc>
        <w:tc>
          <w:tcPr>
            <w:tcW w:w="567" w:type="dxa"/>
            <w:shd w:val="clear" w:color="auto" w:fill="FFFFFF"/>
          </w:tcPr>
          <w:p w:rsidR="00DE5BBE" w:rsidRPr="009563D2" w:rsidRDefault="00DE5BBE" w:rsidP="00935264">
            <w:pPr>
              <w:spacing w:after="0" w:line="240" w:lineRule="auto"/>
              <w:jc w:val="center"/>
              <w:rPr>
                <w:rFonts w:ascii="Times New Roman" w:hAnsi="Times New Roman" w:cs="Times New Roman"/>
                <w:sz w:val="18"/>
                <w:szCs w:val="18"/>
              </w:rPr>
            </w:pPr>
          </w:p>
        </w:tc>
      </w:tr>
      <w:tr w:rsidR="00DE5BBE" w:rsidRPr="009563D2" w:rsidTr="00935264">
        <w:trPr>
          <w:cantSplit/>
          <w:jc w:val="center"/>
        </w:trPr>
        <w:tc>
          <w:tcPr>
            <w:tcW w:w="2395"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8. Age</w:t>
            </w:r>
          </w:p>
        </w:tc>
        <w:tc>
          <w:tcPr>
            <w:tcW w:w="851"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b/>
                <w:color w:val="000000"/>
                <w:sz w:val="18"/>
                <w:szCs w:val="18"/>
              </w:rPr>
              <w:t>NA</w:t>
            </w:r>
          </w:p>
        </w:tc>
        <w:tc>
          <w:tcPr>
            <w:tcW w:w="992"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b/>
                <w:color w:val="000000"/>
                <w:sz w:val="18"/>
                <w:szCs w:val="18"/>
              </w:rPr>
              <w:t>NA</w:t>
            </w:r>
          </w:p>
        </w:tc>
        <w:tc>
          <w:tcPr>
            <w:tcW w:w="850"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-0.059</w:t>
            </w:r>
          </w:p>
        </w:tc>
        <w:tc>
          <w:tcPr>
            <w:tcW w:w="709"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0.003</w:t>
            </w:r>
          </w:p>
        </w:tc>
        <w:tc>
          <w:tcPr>
            <w:tcW w:w="718"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0.020</w:t>
            </w:r>
          </w:p>
        </w:tc>
        <w:tc>
          <w:tcPr>
            <w:tcW w:w="700"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0.246**</w:t>
            </w:r>
          </w:p>
        </w:tc>
        <w:tc>
          <w:tcPr>
            <w:tcW w:w="992"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0.208**</w:t>
            </w:r>
          </w:p>
        </w:tc>
        <w:tc>
          <w:tcPr>
            <w:tcW w:w="567"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0.028</w:t>
            </w:r>
          </w:p>
        </w:tc>
        <w:tc>
          <w:tcPr>
            <w:tcW w:w="709"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0.341**</w:t>
            </w:r>
          </w:p>
        </w:tc>
        <w:tc>
          <w:tcPr>
            <w:tcW w:w="567"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b/>
                <w:color w:val="000000"/>
                <w:sz w:val="18"/>
                <w:szCs w:val="18"/>
              </w:rPr>
              <w:t>NA</w:t>
            </w:r>
          </w:p>
        </w:tc>
        <w:tc>
          <w:tcPr>
            <w:tcW w:w="567"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p>
        </w:tc>
      </w:tr>
      <w:tr w:rsidR="00DE5BBE" w:rsidRPr="009563D2" w:rsidTr="00935264">
        <w:trPr>
          <w:cantSplit/>
          <w:trHeight w:val="243"/>
          <w:jc w:val="center"/>
        </w:trPr>
        <w:tc>
          <w:tcPr>
            <w:tcW w:w="2395"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9. Gender</w:t>
            </w:r>
          </w:p>
        </w:tc>
        <w:tc>
          <w:tcPr>
            <w:tcW w:w="851"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9563D2">
              <w:rPr>
                <w:rFonts w:ascii="Times New Roman" w:hAnsi="Times New Roman" w:cs="Times New Roman"/>
                <w:b/>
                <w:color w:val="000000"/>
                <w:sz w:val="18"/>
                <w:szCs w:val="18"/>
              </w:rPr>
              <w:t>NA</w:t>
            </w:r>
          </w:p>
        </w:tc>
        <w:tc>
          <w:tcPr>
            <w:tcW w:w="992" w:type="dxa"/>
            <w:shd w:val="clear" w:color="auto" w:fill="FFFFFF"/>
          </w:tcPr>
          <w:p w:rsidR="00DE5BBE" w:rsidRPr="009563D2" w:rsidRDefault="00DE5BBE" w:rsidP="0093526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563D2">
              <w:rPr>
                <w:rFonts w:ascii="Times New Roman" w:hAnsi="Times New Roman" w:cs="Times New Roman"/>
                <w:b/>
                <w:color w:val="000000"/>
                <w:sz w:val="18"/>
                <w:szCs w:val="18"/>
              </w:rPr>
              <w:t>NA</w:t>
            </w:r>
          </w:p>
        </w:tc>
        <w:tc>
          <w:tcPr>
            <w:tcW w:w="850"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-0.200**</w:t>
            </w:r>
          </w:p>
        </w:tc>
        <w:tc>
          <w:tcPr>
            <w:tcW w:w="709"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-0.098</w:t>
            </w:r>
          </w:p>
        </w:tc>
        <w:tc>
          <w:tcPr>
            <w:tcW w:w="718"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-0.074</w:t>
            </w:r>
          </w:p>
        </w:tc>
        <w:tc>
          <w:tcPr>
            <w:tcW w:w="700"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-0.002</w:t>
            </w:r>
          </w:p>
        </w:tc>
        <w:tc>
          <w:tcPr>
            <w:tcW w:w="992"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-0.323**</w:t>
            </w:r>
          </w:p>
        </w:tc>
        <w:tc>
          <w:tcPr>
            <w:tcW w:w="567"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-0.045</w:t>
            </w:r>
          </w:p>
        </w:tc>
        <w:tc>
          <w:tcPr>
            <w:tcW w:w="709"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-0.044</w:t>
            </w:r>
          </w:p>
        </w:tc>
        <w:tc>
          <w:tcPr>
            <w:tcW w:w="567"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sz w:val="18"/>
                <w:szCs w:val="18"/>
              </w:rPr>
              <w:t>-0.035</w:t>
            </w:r>
          </w:p>
        </w:tc>
        <w:tc>
          <w:tcPr>
            <w:tcW w:w="567" w:type="dxa"/>
            <w:shd w:val="clear" w:color="auto" w:fill="FFFFFF"/>
          </w:tcPr>
          <w:p w:rsidR="00DE5BBE" w:rsidRPr="009563D2" w:rsidRDefault="00DE5BBE" w:rsidP="00935264">
            <w:pPr>
              <w:spacing w:after="0" w:line="240" w:lineRule="auto"/>
              <w:rPr>
                <w:rFonts w:ascii="Times New Roman" w:hAnsi="Times New Roman" w:cs="Times New Roman"/>
                <w:sz w:val="18"/>
                <w:szCs w:val="18"/>
              </w:rPr>
            </w:pPr>
            <w:r w:rsidRPr="009563D2">
              <w:rPr>
                <w:rFonts w:ascii="Times New Roman" w:hAnsi="Times New Roman" w:cs="Times New Roman"/>
                <w:b/>
                <w:color w:val="000000"/>
                <w:sz w:val="18"/>
                <w:szCs w:val="18"/>
              </w:rPr>
              <w:t>NA</w:t>
            </w:r>
          </w:p>
        </w:tc>
      </w:tr>
    </w:tbl>
    <w:p w:rsidR="00DE5BBE" w:rsidRPr="009563D2" w:rsidRDefault="00DE5BBE" w:rsidP="00DE5BBE">
      <w:pPr>
        <w:autoSpaceDE w:val="0"/>
        <w:autoSpaceDN w:val="0"/>
        <w:adjustRightInd w:val="0"/>
        <w:spacing w:after="0" w:line="240" w:lineRule="auto"/>
        <w:rPr>
          <w:rFonts w:ascii="Times New Roman" w:hAnsi="Times New Roman" w:cs="Times New Roman"/>
          <w:i/>
          <w:sz w:val="16"/>
          <w:szCs w:val="16"/>
        </w:rPr>
      </w:pPr>
      <w:r w:rsidRPr="009563D2">
        <w:rPr>
          <w:rFonts w:ascii="Times New Roman" w:hAnsi="Times New Roman" w:cs="Times New Roman"/>
          <w:i/>
          <w:sz w:val="16"/>
          <w:szCs w:val="16"/>
        </w:rPr>
        <w:t>Note: *p&lt;0.05, **p&lt;0.01, M = mean; SD = standard deviation. The mean is assessed based on average factor scores; standard deviation (SD) and correlations are from the second-order CFA output. The diagonal elements are the square root of the AVE.</w:t>
      </w:r>
    </w:p>
    <w:p w:rsidR="00DE5BBE" w:rsidRDefault="00DE5BBE" w:rsidP="00DE5BBE">
      <w:pPr>
        <w:autoSpaceDE w:val="0"/>
        <w:autoSpaceDN w:val="0"/>
        <w:adjustRightInd w:val="0"/>
        <w:spacing w:after="0" w:line="240" w:lineRule="auto"/>
        <w:rPr>
          <w:rFonts w:ascii="Times New Roman" w:hAnsi="Times New Roman" w:cs="Times New Roman"/>
          <w:i/>
          <w:sz w:val="18"/>
          <w:szCs w:val="18"/>
        </w:rPr>
      </w:pPr>
    </w:p>
    <w:p w:rsidR="00DE5BBE" w:rsidRPr="009563D2" w:rsidRDefault="00DE5BBE" w:rsidP="00DE5BBE">
      <w:pPr>
        <w:spacing w:after="0" w:line="240" w:lineRule="auto"/>
        <w:jc w:val="center"/>
        <w:rPr>
          <w:rFonts w:ascii="Times New Roman" w:hAnsi="Times New Roman" w:cs="Times New Roman"/>
          <w:sz w:val="24"/>
          <w:szCs w:val="24"/>
        </w:rPr>
      </w:pPr>
      <w:r w:rsidRPr="009563D2">
        <w:rPr>
          <w:rFonts w:ascii="Times New Roman" w:hAnsi="Times New Roman" w:cs="Times New Roman"/>
          <w:b/>
          <w:sz w:val="24"/>
          <w:szCs w:val="24"/>
        </w:rPr>
        <w:t xml:space="preserve">Table 4. </w:t>
      </w:r>
      <w:r w:rsidRPr="009563D2">
        <w:rPr>
          <w:rFonts w:ascii="Times New Roman" w:hAnsi="Times New Roman" w:cs="Times New Roman"/>
          <w:sz w:val="24"/>
          <w:szCs w:val="24"/>
        </w:rPr>
        <w:t>Item loadings and cross-loadings.</w:t>
      </w:r>
    </w:p>
    <w:tbl>
      <w:tblPr>
        <w:tblW w:w="8223" w:type="dxa"/>
        <w:jc w:val="center"/>
        <w:tblLayout w:type="fixed"/>
        <w:tblCellMar>
          <w:left w:w="0" w:type="dxa"/>
          <w:right w:w="0" w:type="dxa"/>
        </w:tblCellMar>
        <w:tblLook w:val="0000" w:firstRow="0" w:lastRow="0" w:firstColumn="0" w:lastColumn="0" w:noHBand="0" w:noVBand="0"/>
      </w:tblPr>
      <w:tblGrid>
        <w:gridCol w:w="3136"/>
        <w:gridCol w:w="1009"/>
        <w:gridCol w:w="676"/>
        <w:gridCol w:w="567"/>
        <w:gridCol w:w="708"/>
        <w:gridCol w:w="709"/>
        <w:gridCol w:w="709"/>
        <w:gridCol w:w="709"/>
      </w:tblGrid>
      <w:tr w:rsidR="00DE5BBE" w:rsidRPr="009563D2" w:rsidTr="00935264">
        <w:trPr>
          <w:cantSplit/>
          <w:jc w:val="center"/>
        </w:trPr>
        <w:tc>
          <w:tcPr>
            <w:tcW w:w="3136"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r w:rsidRPr="009563D2">
              <w:rPr>
                <w:rFonts w:ascii="Times New Roman" w:hAnsi="Times New Roman" w:cs="Times New Roman"/>
                <w:color w:val="000000"/>
                <w:sz w:val="20"/>
                <w:szCs w:val="20"/>
              </w:rPr>
              <w:t>Construct</w:t>
            </w:r>
          </w:p>
        </w:tc>
        <w:tc>
          <w:tcPr>
            <w:tcW w:w="1009" w:type="dxa"/>
            <w:tcBorders>
              <w:top w:val="single" w:sz="12" w:space="0" w:color="auto"/>
              <w:bottom w:val="single" w:sz="12" w:space="0" w:color="auto"/>
            </w:tcBorders>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Items</w:t>
            </w:r>
          </w:p>
        </w:tc>
        <w:tc>
          <w:tcPr>
            <w:tcW w:w="676"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HP</w:t>
            </w:r>
          </w:p>
        </w:tc>
        <w:tc>
          <w:tcPr>
            <w:tcW w:w="567"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9563D2">
              <w:rPr>
                <w:rFonts w:ascii="Times New Roman" w:hAnsi="Times New Roman" w:cs="Times New Roman"/>
                <w:color w:val="000000"/>
                <w:sz w:val="20"/>
                <w:szCs w:val="20"/>
              </w:rPr>
              <w:t>Dist</w:t>
            </w:r>
            <w:proofErr w:type="spellEnd"/>
          </w:p>
        </w:tc>
        <w:tc>
          <w:tcPr>
            <w:tcW w:w="708"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9563D2">
              <w:rPr>
                <w:rFonts w:ascii="Times New Roman" w:hAnsi="Times New Roman" w:cs="Times New Roman"/>
                <w:color w:val="000000"/>
                <w:sz w:val="20"/>
                <w:szCs w:val="20"/>
              </w:rPr>
              <w:t>Fct</w:t>
            </w:r>
            <w:proofErr w:type="spellEnd"/>
          </w:p>
        </w:tc>
        <w:tc>
          <w:tcPr>
            <w:tcW w:w="709"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PFF</w:t>
            </w:r>
          </w:p>
        </w:tc>
        <w:tc>
          <w:tcPr>
            <w:tcW w:w="709"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FF</w:t>
            </w:r>
          </w:p>
        </w:tc>
        <w:tc>
          <w:tcPr>
            <w:tcW w:w="709" w:type="dxa"/>
            <w:tcBorders>
              <w:top w:val="single" w:sz="12" w:space="0" w:color="auto"/>
              <w:bottom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EF</w:t>
            </w:r>
          </w:p>
        </w:tc>
      </w:tr>
      <w:tr w:rsidR="00DE5BBE" w:rsidRPr="009563D2" w:rsidTr="00935264">
        <w:trPr>
          <w:cantSplit/>
          <w:jc w:val="center"/>
        </w:trPr>
        <w:tc>
          <w:tcPr>
            <w:tcW w:w="3136" w:type="dxa"/>
            <w:tcBorders>
              <w:top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r w:rsidRPr="009563D2">
              <w:rPr>
                <w:rFonts w:ascii="Times New Roman" w:hAnsi="Times New Roman" w:cs="Times New Roman"/>
                <w:sz w:val="20"/>
                <w:szCs w:val="20"/>
              </w:rPr>
              <w:t>Housing preference (HP)</w:t>
            </w:r>
          </w:p>
        </w:tc>
        <w:tc>
          <w:tcPr>
            <w:tcW w:w="1009" w:type="dxa"/>
            <w:tcBorders>
              <w:top w:val="single" w:sz="12" w:space="0" w:color="auto"/>
            </w:tcBorders>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HP01</w:t>
            </w:r>
          </w:p>
        </w:tc>
        <w:tc>
          <w:tcPr>
            <w:tcW w:w="676" w:type="dxa"/>
            <w:tcBorders>
              <w:top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.915</w:t>
            </w:r>
          </w:p>
        </w:tc>
        <w:tc>
          <w:tcPr>
            <w:tcW w:w="567" w:type="dxa"/>
            <w:tcBorders>
              <w:top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.002</w:t>
            </w:r>
          </w:p>
        </w:tc>
        <w:tc>
          <w:tcPr>
            <w:tcW w:w="708" w:type="dxa"/>
            <w:tcBorders>
              <w:top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-.005</w:t>
            </w:r>
          </w:p>
        </w:tc>
        <w:tc>
          <w:tcPr>
            <w:tcW w:w="709" w:type="dxa"/>
            <w:tcBorders>
              <w:top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.016</w:t>
            </w:r>
          </w:p>
        </w:tc>
        <w:tc>
          <w:tcPr>
            <w:tcW w:w="709" w:type="dxa"/>
            <w:tcBorders>
              <w:top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.022</w:t>
            </w:r>
          </w:p>
        </w:tc>
        <w:tc>
          <w:tcPr>
            <w:tcW w:w="709" w:type="dxa"/>
            <w:tcBorders>
              <w:top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-.035</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HP02</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.906</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-.010</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.013</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.033</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-.003</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-.009</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HP03</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.878</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-.020</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.050</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-.053</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.030</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.083</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HP04</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.861</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.003</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-.046</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.014</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-.009</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.011</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HP05</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.847</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.037</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.013</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-.005</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-.043</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-.039</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r w:rsidRPr="009563D2">
              <w:rPr>
                <w:rFonts w:ascii="Times New Roman" w:hAnsi="Times New Roman" w:cs="Times New Roman"/>
                <w:color w:val="000000"/>
                <w:sz w:val="20"/>
                <w:szCs w:val="20"/>
              </w:rPr>
              <w:t>Distance (</w:t>
            </w:r>
            <w:proofErr w:type="spellStart"/>
            <w:r w:rsidRPr="009563D2">
              <w:rPr>
                <w:rFonts w:ascii="Times New Roman" w:hAnsi="Times New Roman" w:cs="Times New Roman"/>
                <w:color w:val="000000"/>
                <w:sz w:val="20"/>
                <w:szCs w:val="20"/>
              </w:rPr>
              <w:t>Dist</w:t>
            </w:r>
            <w:proofErr w:type="spellEnd"/>
            <w:r w:rsidRPr="009563D2">
              <w:rPr>
                <w:rFonts w:ascii="Times New Roman" w:hAnsi="Times New Roman" w:cs="Times New Roman"/>
                <w:color w:val="000000"/>
                <w:sz w:val="20"/>
                <w:szCs w:val="20"/>
              </w:rPr>
              <w:t>)</w:t>
            </w: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Dist01</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-.001</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.875</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.020</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.013</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-.027</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.041</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Dist02</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-.032</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.845</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.025</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.040</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-.032</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.026</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Dist03</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.054</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.844</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-.038</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.006</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.055</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-.054</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Dist04</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-.077</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.844</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.028</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-.051</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.035</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.013</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Dist05</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.073</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.828</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-.036</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-.019</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-.007</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-.032</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r w:rsidRPr="009563D2">
              <w:rPr>
                <w:rFonts w:ascii="Times New Roman" w:hAnsi="Times New Roman" w:cs="Times New Roman"/>
                <w:color w:val="000000"/>
                <w:sz w:val="20"/>
                <w:szCs w:val="20"/>
              </w:rPr>
              <w:t>Facilities (</w:t>
            </w:r>
            <w:proofErr w:type="spellStart"/>
            <w:r w:rsidRPr="009563D2">
              <w:rPr>
                <w:rFonts w:ascii="Times New Roman" w:hAnsi="Times New Roman" w:cs="Times New Roman"/>
                <w:color w:val="000000"/>
                <w:sz w:val="20"/>
                <w:szCs w:val="20"/>
              </w:rPr>
              <w:t>Fct</w:t>
            </w:r>
            <w:proofErr w:type="spellEnd"/>
            <w:r w:rsidRPr="009563D2">
              <w:rPr>
                <w:rFonts w:ascii="Times New Roman" w:hAnsi="Times New Roman" w:cs="Times New Roman"/>
                <w:color w:val="000000"/>
                <w:sz w:val="20"/>
                <w:szCs w:val="20"/>
              </w:rPr>
              <w:t>)</w:t>
            </w: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Fct01</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.007</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.028</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.943</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-.001</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-.011</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.006</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Fct02</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.010</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.025</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.928</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.012</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.005</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-.022</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Fct03</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.001</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.000</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.922</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-.046</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.010</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.027</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Fct04</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.002</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-.052</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.896</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.005</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-.018</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-.008</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r w:rsidRPr="009563D2">
              <w:rPr>
                <w:rFonts w:ascii="Times New Roman" w:hAnsi="Times New Roman" w:cs="Times New Roman"/>
                <w:color w:val="000000"/>
                <w:sz w:val="20"/>
                <w:szCs w:val="20"/>
              </w:rPr>
              <w:t>Property physical factor (PFF)</w:t>
            </w: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PFF01</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-.017</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-.021</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.038</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.960</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.038</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-.002</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PFF02</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-.001</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-.028</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.045</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.951</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.014</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-.036</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PFF03</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-.009</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-.030</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.016</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.946</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.058</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.010</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PFF04</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.041</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.082</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-.149</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.747</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-.128</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.044</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r w:rsidRPr="009563D2">
              <w:rPr>
                <w:rFonts w:ascii="Times New Roman" w:hAnsi="Times New Roman" w:cs="Times New Roman"/>
                <w:color w:val="000000"/>
                <w:sz w:val="20"/>
                <w:szCs w:val="20"/>
              </w:rPr>
              <w:t>Financial Factor (FF)</w:t>
            </w: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FF01</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-.006</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-.095</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-.038</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-.004</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.887</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-.008</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FF02</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-.051</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.042</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-.031</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-.105</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.835</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.012</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FF03</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.073</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.014</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.035</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.031</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.806</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-.045</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FF04</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-.021</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.080</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.025</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.087</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.718</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.057</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r w:rsidRPr="009563D2">
              <w:rPr>
                <w:rFonts w:ascii="Times New Roman" w:hAnsi="Times New Roman" w:cs="Times New Roman"/>
                <w:sz w:val="20"/>
                <w:szCs w:val="20"/>
              </w:rPr>
              <w:t>Environmental factor (EF)</w:t>
            </w: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EF01</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-.012</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.007</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.001</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-.014</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-.109</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.884</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EF02</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.076</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-.079</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-.040</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-.055</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.023</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.803</w:t>
            </w: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EF03</w:t>
            </w:r>
          </w:p>
        </w:tc>
        <w:tc>
          <w:tcPr>
            <w:tcW w:w="676"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-.077</w:t>
            </w:r>
          </w:p>
        </w:tc>
        <w:tc>
          <w:tcPr>
            <w:tcW w:w="567"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.073</w:t>
            </w:r>
          </w:p>
        </w:tc>
        <w:tc>
          <w:tcPr>
            <w:tcW w:w="708"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.089</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.091</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-.006</w:t>
            </w:r>
          </w:p>
        </w:tc>
        <w:tc>
          <w:tcPr>
            <w:tcW w:w="709" w:type="dxa"/>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.802</w:t>
            </w:r>
          </w:p>
        </w:tc>
      </w:tr>
      <w:tr w:rsidR="00DE5BBE" w:rsidRPr="009563D2" w:rsidTr="00935264">
        <w:trPr>
          <w:cantSplit/>
          <w:jc w:val="center"/>
        </w:trPr>
        <w:tc>
          <w:tcPr>
            <w:tcW w:w="3136" w:type="dxa"/>
            <w:tcBorders>
              <w:bottom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9" w:type="dxa"/>
            <w:tcBorders>
              <w:bottom w:val="single" w:sz="12" w:space="0" w:color="auto"/>
            </w:tcBorders>
            <w:shd w:val="clear" w:color="auto" w:fill="FFFFFF"/>
            <w:vAlign w:val="center"/>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EF04</w:t>
            </w:r>
          </w:p>
        </w:tc>
        <w:tc>
          <w:tcPr>
            <w:tcW w:w="676" w:type="dxa"/>
            <w:tcBorders>
              <w:bottom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.024</w:t>
            </w:r>
          </w:p>
        </w:tc>
        <w:tc>
          <w:tcPr>
            <w:tcW w:w="567" w:type="dxa"/>
            <w:tcBorders>
              <w:bottom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-.008</w:t>
            </w:r>
          </w:p>
        </w:tc>
        <w:tc>
          <w:tcPr>
            <w:tcW w:w="708" w:type="dxa"/>
            <w:tcBorders>
              <w:bottom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-.053</w:t>
            </w:r>
          </w:p>
        </w:tc>
        <w:tc>
          <w:tcPr>
            <w:tcW w:w="709" w:type="dxa"/>
            <w:tcBorders>
              <w:bottom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-.014</w:t>
            </w:r>
          </w:p>
        </w:tc>
        <w:tc>
          <w:tcPr>
            <w:tcW w:w="709" w:type="dxa"/>
            <w:tcBorders>
              <w:bottom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563D2">
              <w:rPr>
                <w:rFonts w:ascii="Times New Roman" w:hAnsi="Times New Roman" w:cs="Times New Roman"/>
                <w:color w:val="000000"/>
                <w:sz w:val="20"/>
                <w:szCs w:val="20"/>
              </w:rPr>
              <w:t>.122</w:t>
            </w:r>
          </w:p>
        </w:tc>
        <w:tc>
          <w:tcPr>
            <w:tcW w:w="709" w:type="dxa"/>
            <w:tcBorders>
              <w:bottom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9563D2">
              <w:rPr>
                <w:rFonts w:ascii="Times New Roman" w:hAnsi="Times New Roman" w:cs="Times New Roman"/>
                <w:b/>
                <w:color w:val="000000"/>
                <w:sz w:val="20"/>
                <w:szCs w:val="20"/>
              </w:rPr>
              <w:t>.753</w:t>
            </w:r>
          </w:p>
        </w:tc>
      </w:tr>
      <w:tr w:rsidR="00DE5BBE" w:rsidRPr="009563D2" w:rsidTr="00935264">
        <w:trPr>
          <w:cantSplit/>
          <w:jc w:val="center"/>
        </w:trPr>
        <w:tc>
          <w:tcPr>
            <w:tcW w:w="3136" w:type="dxa"/>
            <w:tcBorders>
              <w:top w:val="single" w:sz="12" w:space="0" w:color="auto"/>
            </w:tcBorders>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5087" w:type="dxa"/>
            <w:gridSpan w:val="7"/>
            <w:tcBorders>
              <w:top w:val="single" w:sz="12" w:space="0" w:color="auto"/>
            </w:tcBorders>
            <w:shd w:val="clear" w:color="auto" w:fill="FFFFFF"/>
            <w:vAlign w:val="center"/>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r>
      <w:tr w:rsidR="00DE5BBE" w:rsidRPr="009563D2" w:rsidTr="00935264">
        <w:trPr>
          <w:cantSplit/>
          <w:jc w:val="center"/>
        </w:trPr>
        <w:tc>
          <w:tcPr>
            <w:tcW w:w="3136" w:type="dxa"/>
            <w:shd w:val="clear" w:color="auto" w:fill="FFFFFF"/>
          </w:tcPr>
          <w:p w:rsidR="00DE5BBE" w:rsidRPr="009563D2" w:rsidRDefault="00DE5BBE" w:rsidP="0093526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5087" w:type="dxa"/>
            <w:gridSpan w:val="7"/>
            <w:shd w:val="clear" w:color="auto" w:fill="FFFFFF"/>
          </w:tcPr>
          <w:p w:rsidR="00DE5BBE" w:rsidRPr="009563D2" w:rsidRDefault="00DE5BBE" w:rsidP="00E22183">
            <w:pPr>
              <w:autoSpaceDE w:val="0"/>
              <w:autoSpaceDN w:val="0"/>
              <w:adjustRightInd w:val="0"/>
              <w:spacing w:after="0" w:line="320" w:lineRule="atLeast"/>
              <w:ind w:right="60"/>
              <w:rPr>
                <w:rFonts w:ascii="Times New Roman" w:hAnsi="Times New Roman" w:cs="Times New Roman"/>
                <w:color w:val="000000"/>
                <w:sz w:val="20"/>
                <w:szCs w:val="20"/>
              </w:rPr>
            </w:pPr>
          </w:p>
        </w:tc>
      </w:tr>
    </w:tbl>
    <w:p w:rsidR="00DE5BBE" w:rsidRPr="002B0537" w:rsidRDefault="00DE5BBE" w:rsidP="00DE5BBE">
      <w:pPr>
        <w:jc w:val="both"/>
        <w:rPr>
          <w:rFonts w:ascii="Times New Roman" w:hAnsi="Times New Roman" w:cs="Times New Roman"/>
          <w:b/>
          <w:sz w:val="24"/>
          <w:szCs w:val="24"/>
        </w:rPr>
      </w:pPr>
      <w:r>
        <w:rPr>
          <w:rFonts w:ascii="Times New Roman" w:hAnsi="Times New Roman" w:cs="Times New Roman"/>
          <w:b/>
          <w:sz w:val="24"/>
          <w:szCs w:val="24"/>
        </w:rPr>
        <w:t xml:space="preserve">Common Method Bias, </w:t>
      </w:r>
      <w:r w:rsidRPr="002B0537">
        <w:rPr>
          <w:rFonts w:ascii="Times New Roman" w:hAnsi="Times New Roman" w:cs="Times New Roman"/>
          <w:b/>
          <w:iCs/>
          <w:sz w:val="24"/>
          <w:szCs w:val="24"/>
        </w:rPr>
        <w:t>Multicollinearity</w:t>
      </w:r>
    </w:p>
    <w:p w:rsidR="00DE5BBE" w:rsidRPr="002B0537" w:rsidRDefault="00DE5BBE" w:rsidP="00E22183">
      <w:pPr>
        <w:spacing w:line="240" w:lineRule="auto"/>
        <w:jc w:val="both"/>
        <w:rPr>
          <w:rFonts w:ascii="Times New Roman" w:hAnsi="Times New Roman" w:cs="Times New Roman"/>
          <w:iCs/>
          <w:sz w:val="24"/>
          <w:szCs w:val="24"/>
        </w:rPr>
      </w:pPr>
      <w:r w:rsidRPr="002B0537">
        <w:rPr>
          <w:rFonts w:ascii="Times New Roman" w:hAnsi="Times New Roman" w:cs="Times New Roman"/>
          <w:iCs/>
          <w:sz w:val="24"/>
          <w:szCs w:val="24"/>
        </w:rPr>
        <w:t>Considering the</w:t>
      </w:r>
      <w:r>
        <w:rPr>
          <w:rFonts w:ascii="Times New Roman" w:hAnsi="Times New Roman" w:cs="Times New Roman"/>
          <w:iCs/>
          <w:sz w:val="24"/>
          <w:szCs w:val="24"/>
        </w:rPr>
        <w:t xml:space="preserve"> nature of survey data gathered from a single source</w:t>
      </w:r>
      <w:r w:rsidRPr="002B0537">
        <w:rPr>
          <w:rFonts w:ascii="Times New Roman" w:hAnsi="Times New Roman" w:cs="Times New Roman"/>
          <w:iCs/>
          <w:sz w:val="24"/>
          <w:szCs w:val="24"/>
        </w:rPr>
        <w:t xml:space="preserve"> using </w:t>
      </w:r>
      <w:r>
        <w:rPr>
          <w:rFonts w:ascii="Times New Roman" w:hAnsi="Times New Roman" w:cs="Times New Roman"/>
          <w:iCs/>
          <w:sz w:val="24"/>
          <w:szCs w:val="24"/>
        </w:rPr>
        <w:t>the same method, two independent approaches</w:t>
      </w:r>
      <w:r w:rsidRPr="002B0537">
        <w:rPr>
          <w:rFonts w:ascii="Times New Roman" w:hAnsi="Times New Roman" w:cs="Times New Roman"/>
          <w:iCs/>
          <w:sz w:val="24"/>
          <w:szCs w:val="24"/>
        </w:rPr>
        <w:t xml:space="preserve"> were utilized to address the possibility of common method bias (CMB) in the data set</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EN.CITE &lt;EndNote&gt;&lt;Cite&gt;&lt;Author&gt;Podsakoff&lt;/Author&gt;&lt;Year&gt;2012&lt;/Year&gt;&lt;RecNum&gt;2830&lt;/RecNum&gt;&lt;DisplayText&gt;(Podsakoff, MacKenzie, &amp;amp; Podsakoff, 2012)&lt;/DisplayText&gt;&lt;record&gt;&lt;rec-number&gt;2830&lt;/rec-number&gt;&lt;foreign-keys&gt;&lt;key app="EN" db-id="900edwzvlz5zfoeradsxtdxf2swapvrr2ddd" timestamp="1515278868"&gt;2830&lt;/key&gt;&lt;/foreign-keys&gt;&lt;ref-type name="Journal Article"&gt;17&lt;/ref-type&gt;&lt;contributors&gt;&lt;authors&gt;&lt;author&gt;Podsakoff, Philip M&lt;/author&gt;&lt;author&gt;MacKenzie, Scott B&lt;/author&gt;&lt;author&gt;Podsakoff, Nathan P&lt;/author&gt;&lt;/authors&gt;&lt;/contributors&gt;&lt;titles&gt;&lt;title&gt;Sources of method bias in social science research and recommendations on how to control it&lt;/title&gt;&lt;secondary-title&gt;Annual review of psychology&lt;/secondary-title&gt;&lt;/titles&gt;&lt;periodical&gt;&lt;full-title&gt;Annual review of psychology&lt;/full-title&gt;&lt;/periodical&gt;&lt;pages&gt;539-569&lt;/pages&gt;&lt;volume&gt;63&lt;/volume&gt;&lt;dates&gt;&lt;year&gt;2012&lt;/year&gt;&lt;/dates&gt;&lt;isbn&gt;0066-4308&lt;/isbn&gt;&lt;urls&gt;&lt;/urls&gt;&lt;/record&gt;&lt;/Cite&gt;&lt;/EndNote&gt;</w:instrText>
      </w:r>
      <w:r>
        <w:rPr>
          <w:rFonts w:ascii="Times New Roman" w:hAnsi="Times New Roman" w:cs="Times New Roman"/>
          <w:iCs/>
          <w:sz w:val="24"/>
          <w:szCs w:val="24"/>
        </w:rPr>
        <w:fldChar w:fldCharType="separate"/>
      </w:r>
      <w:r>
        <w:rPr>
          <w:rFonts w:ascii="Times New Roman" w:hAnsi="Times New Roman" w:cs="Times New Roman"/>
          <w:iCs/>
          <w:noProof/>
          <w:sz w:val="24"/>
          <w:szCs w:val="24"/>
        </w:rPr>
        <w:t>(Podsakoff, MacKenzie, &amp; Podsakoff, 2012)</w:t>
      </w:r>
      <w:r>
        <w:rPr>
          <w:rFonts w:ascii="Times New Roman" w:hAnsi="Times New Roman" w:cs="Times New Roman"/>
          <w:iCs/>
          <w:sz w:val="24"/>
          <w:szCs w:val="24"/>
        </w:rPr>
        <w:fldChar w:fldCharType="end"/>
      </w:r>
      <w:r w:rsidRPr="002B0537">
        <w:rPr>
          <w:rFonts w:ascii="Times New Roman" w:hAnsi="Times New Roman" w:cs="Times New Roman"/>
          <w:iCs/>
          <w:sz w:val="24"/>
          <w:szCs w:val="24"/>
        </w:rPr>
        <w:t xml:space="preserve">. </w:t>
      </w:r>
      <w:r>
        <w:rPr>
          <w:rFonts w:ascii="Times New Roman" w:hAnsi="Times New Roman" w:cs="Times New Roman"/>
          <w:iCs/>
          <w:sz w:val="24"/>
          <w:szCs w:val="24"/>
        </w:rPr>
        <w:t>First, we employed the method</w:t>
      </w:r>
      <w:r w:rsidRPr="002B0537">
        <w:rPr>
          <w:rFonts w:ascii="Times New Roman" w:hAnsi="Times New Roman" w:cs="Times New Roman"/>
          <w:iCs/>
          <w:sz w:val="24"/>
          <w:szCs w:val="24"/>
        </w:rPr>
        <w:t xml:space="preserve"> suggested by </w:t>
      </w:r>
      <w:r w:rsidRPr="002B0537">
        <w:rPr>
          <w:rFonts w:ascii="Times New Roman" w:hAnsi="Times New Roman" w:cs="Times New Roman"/>
          <w:iCs/>
          <w:sz w:val="24"/>
          <w:szCs w:val="24"/>
        </w:rPr>
        <w:fldChar w:fldCharType="begin"/>
      </w:r>
      <w:r w:rsidRPr="002B0537">
        <w:rPr>
          <w:rFonts w:ascii="Times New Roman" w:hAnsi="Times New Roman" w:cs="Times New Roman"/>
          <w:iCs/>
          <w:sz w:val="24"/>
          <w:szCs w:val="24"/>
        </w:rPr>
        <w:instrText xml:space="preserve"> ADDIN EN.CITE &lt;EndNote&gt;&lt;Cite AuthorYear="1"&gt;&lt;Author&gt;Liang&lt;/Author&gt;&lt;Year&gt;2007&lt;/Year&gt;&lt;RecNum&gt;3662&lt;/RecNum&gt;&lt;DisplayText&gt;Liang, Saraf, Hu, and Xue (2007)&lt;/DisplayText&gt;&lt;record&gt;&lt;rec-number&gt;3662&lt;/rec-number&gt;&lt;foreign-keys&gt;&lt;key app="EN" db-id="900edwzvlz5zfoeradsxtdxf2swapvrr2ddd" timestamp="1541037912"&gt;3662&lt;/key&gt;&lt;/foreign-keys&gt;&lt;ref-type name="Journal Article"&gt;17&lt;/ref-type&gt;&lt;contributors&gt;&lt;authors&gt;&lt;author&gt;Liang, Huigang&lt;/author&gt;&lt;author&gt;Saraf, Nilesh&lt;/author&gt;&lt;author&gt;Hu, Qing&lt;/author&gt;&lt;author&gt;Xue, Yajiong&lt;/author&gt;&lt;/authors&gt;&lt;/contributors&gt;&lt;titles&gt;&lt;title&gt;Assimilation of enterprise systems: the effect of institutional pressures and the mediating role of top management&lt;/title&gt;&lt;secondary-title&gt;MIS quarterly&lt;/secondary-title&gt;&lt;/titles&gt;&lt;periodical&gt;&lt;full-title&gt;Mis Quarterly&lt;/full-title&gt;&lt;/periodical&gt;&lt;pages&gt;59-87&lt;/pages&gt;&lt;dates&gt;&lt;year&gt;2007&lt;/year&gt;&lt;/dates&gt;&lt;isbn&gt;0276-7783&lt;/isbn&gt;&lt;urls&gt;&lt;/urls&gt;&lt;/record&gt;&lt;/Cite&gt;&lt;/EndNote&gt;</w:instrText>
      </w:r>
      <w:r w:rsidRPr="002B0537">
        <w:rPr>
          <w:rFonts w:ascii="Times New Roman" w:hAnsi="Times New Roman" w:cs="Times New Roman"/>
          <w:iCs/>
          <w:sz w:val="24"/>
          <w:szCs w:val="24"/>
        </w:rPr>
        <w:fldChar w:fldCharType="separate"/>
      </w:r>
      <w:r w:rsidRPr="002B0537">
        <w:rPr>
          <w:rFonts w:ascii="Times New Roman" w:hAnsi="Times New Roman" w:cs="Times New Roman"/>
          <w:iCs/>
          <w:sz w:val="24"/>
          <w:szCs w:val="24"/>
        </w:rPr>
        <w:t>Liang, Saraf, Hu, and Xue (2007)</w:t>
      </w:r>
      <w:r w:rsidRPr="002B0537">
        <w:rPr>
          <w:rFonts w:ascii="Times New Roman" w:hAnsi="Times New Roman" w:cs="Times New Roman"/>
          <w:sz w:val="24"/>
          <w:szCs w:val="24"/>
        </w:rPr>
        <w:fldChar w:fldCharType="end"/>
      </w:r>
      <w:r w:rsidRPr="002B0537">
        <w:rPr>
          <w:rFonts w:ascii="Times New Roman" w:hAnsi="Times New Roman" w:cs="Times New Roman"/>
          <w:iCs/>
          <w:sz w:val="24"/>
          <w:szCs w:val="24"/>
        </w:rPr>
        <w:t xml:space="preserve"> to </w:t>
      </w:r>
      <w:r>
        <w:rPr>
          <w:rFonts w:ascii="Times New Roman" w:hAnsi="Times New Roman" w:cs="Times New Roman"/>
          <w:iCs/>
          <w:sz w:val="24"/>
          <w:szCs w:val="24"/>
        </w:rPr>
        <w:t xml:space="preserve">assess </w:t>
      </w:r>
      <w:r w:rsidRPr="002B0537">
        <w:rPr>
          <w:rFonts w:ascii="Times New Roman" w:hAnsi="Times New Roman" w:cs="Times New Roman"/>
          <w:iCs/>
          <w:sz w:val="24"/>
          <w:szCs w:val="24"/>
        </w:rPr>
        <w:t xml:space="preserve">the CMB. </w:t>
      </w:r>
      <w:r w:rsidRPr="007222EB">
        <w:rPr>
          <w:rFonts w:ascii="Times New Roman" w:hAnsi="Times New Roman" w:cs="Times New Roman"/>
          <w:iCs/>
          <w:sz w:val="24"/>
          <w:szCs w:val="24"/>
        </w:rPr>
        <w:t>The outcomes reveal that the average subjunctive factor accounts for 79% of the entire variance, while the average method factor is 0.041 and the majority of method factor values are insignificant, indicating that there are no CMB concerns in the present data set</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EN.CITE &lt;EndNote&gt;&lt;Cite&gt;&lt;Author&gt;Liang&lt;/Author&gt;&lt;Year&gt;2007&lt;/Year&gt;&lt;RecNum&gt;3662&lt;/RecNum&gt;&lt;DisplayText&gt;(Liang et al., 2007)&lt;/DisplayText&gt;&lt;record&gt;&lt;rec-number&gt;3662&lt;/rec-number&gt;&lt;foreign-keys&gt;&lt;key app="EN" db-id="900edwzvlz5zfoeradsxtdxf2swapvrr2ddd" timestamp="1541037912"&gt;3662&lt;/key&gt;&lt;/foreign-keys&gt;&lt;ref-type name="Journal Article"&gt;17&lt;/ref-type&gt;&lt;contributors&gt;&lt;authors&gt;&lt;author&gt;Liang, Huigang&lt;/author&gt;&lt;author&gt;Saraf, Nilesh&lt;/author&gt;&lt;author&gt;Hu, Qing&lt;/author&gt;&lt;author&gt;Xue, Yajiong&lt;/author&gt;&lt;/authors&gt;&lt;/contributors&gt;&lt;titles&gt;&lt;title&gt;Assimilation of enterprise systems: the effect of institutional pressures and the mediating role of top management&lt;/title&gt;&lt;secondary-title&gt;MIS quarterly&lt;/secondary-title&gt;&lt;/titles&gt;&lt;periodical&gt;&lt;full-title&gt;Mis Quarterly&lt;/full-title&gt;&lt;/periodical&gt;&lt;pages&gt;59-87&lt;/pages&gt;&lt;dates&gt;&lt;year&gt;2007&lt;/year&gt;&lt;/dates&gt;&lt;isbn&gt;0276-7783&lt;/isbn&gt;&lt;urls&gt;&lt;/urls&gt;&lt;/record&gt;&lt;/Cite&gt;&lt;/EndNote&gt;</w:instrText>
      </w:r>
      <w:r>
        <w:rPr>
          <w:rFonts w:ascii="Times New Roman" w:hAnsi="Times New Roman" w:cs="Times New Roman"/>
          <w:iCs/>
          <w:sz w:val="24"/>
          <w:szCs w:val="24"/>
        </w:rPr>
        <w:fldChar w:fldCharType="separate"/>
      </w:r>
      <w:r>
        <w:rPr>
          <w:rFonts w:ascii="Times New Roman" w:hAnsi="Times New Roman" w:cs="Times New Roman"/>
          <w:iCs/>
          <w:noProof/>
          <w:sz w:val="24"/>
          <w:szCs w:val="24"/>
        </w:rPr>
        <w:t>(Liang et al., 2007)</w:t>
      </w:r>
      <w:r>
        <w:rPr>
          <w:rFonts w:ascii="Times New Roman" w:hAnsi="Times New Roman" w:cs="Times New Roman"/>
          <w:iCs/>
          <w:sz w:val="24"/>
          <w:szCs w:val="24"/>
        </w:rPr>
        <w:fldChar w:fldCharType="end"/>
      </w:r>
      <w:r w:rsidRPr="007222EB">
        <w:rPr>
          <w:rFonts w:ascii="Times New Roman" w:hAnsi="Times New Roman" w:cs="Times New Roman"/>
          <w:iCs/>
          <w:sz w:val="24"/>
          <w:szCs w:val="24"/>
        </w:rPr>
        <w:t>.</w:t>
      </w:r>
      <w:r w:rsidRPr="002B0537">
        <w:rPr>
          <w:rFonts w:ascii="Times New Roman" w:hAnsi="Times New Roman" w:cs="Times New Roman"/>
          <w:iCs/>
          <w:sz w:val="24"/>
          <w:szCs w:val="24"/>
        </w:rPr>
        <w:t xml:space="preserve"> </w:t>
      </w:r>
      <w:r w:rsidRPr="00300419">
        <w:rPr>
          <w:rFonts w:ascii="Times New Roman" w:hAnsi="Times New Roman" w:cs="Times New Roman"/>
          <w:iCs/>
          <w:sz w:val="24"/>
          <w:szCs w:val="24"/>
        </w:rPr>
        <w:t>Second, Herman's single factor approach was applied to inv</w:t>
      </w:r>
      <w:r>
        <w:rPr>
          <w:rFonts w:ascii="Times New Roman" w:hAnsi="Times New Roman" w:cs="Times New Roman"/>
          <w:iCs/>
          <w:sz w:val="24"/>
          <w:szCs w:val="24"/>
        </w:rPr>
        <w:t>estigate the possibility of CMB</w:t>
      </w:r>
      <w:r w:rsidRPr="00300419">
        <w:rPr>
          <w:rFonts w:ascii="Times New Roman" w:hAnsi="Times New Roman" w:cs="Times New Roman"/>
          <w:iCs/>
          <w:sz w:val="24"/>
          <w:szCs w:val="24"/>
        </w:rPr>
        <w:t xml:space="preserve"> </w:t>
      </w:r>
      <w:r w:rsidRPr="002B0537">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EN.CITE &lt;EndNote&gt;&lt;Cite&gt;&lt;Author&gt;Podsakoff&lt;/Author&gt;&lt;Year&gt;2012&lt;/Year&gt;&lt;RecNum&gt;2830&lt;/RecNum&gt;&lt;DisplayText&gt;(Podsakoff et al., 2012)&lt;/DisplayText&gt;&lt;record&gt;&lt;rec-number&gt;2830&lt;/rec-number&gt;&lt;foreign-keys&gt;&lt;key app="EN" db-id="900edwzvlz5zfoeradsxtdxf2swapvrr2ddd" timestamp="1515278868"&gt;2830&lt;/key&gt;&lt;/foreign-keys&gt;&lt;ref-type name="Journal Article"&gt;17&lt;/ref-type&gt;&lt;contributors&gt;&lt;authors&gt;&lt;author&gt;Podsakoff, Philip M&lt;/author&gt;&lt;author&gt;MacKenzie, Scott B&lt;/author&gt;&lt;author&gt;Podsakoff, Nathan P&lt;/author&gt;&lt;/authors&gt;&lt;/contributors&gt;&lt;titles&gt;&lt;title&gt;Sources of method bias in social science research and recommendations on how to control it&lt;/title&gt;&lt;secondary-title&gt;Annual review of psychology&lt;/secondary-title&gt;&lt;/titles&gt;&lt;periodical&gt;&lt;full-title&gt;Annual review of psychology&lt;/full-title&gt;&lt;/periodical&gt;&lt;pages&gt;539-569&lt;/pages&gt;&lt;volume&gt;63&lt;/volume&gt;&lt;dates&gt;&lt;year&gt;2012&lt;/year&gt;&lt;/dates&gt;&lt;isbn&gt;0066-4308&lt;/isbn&gt;&lt;urls&gt;&lt;/urls&gt;&lt;/record&gt;&lt;/Cite&gt;&lt;/EndNote&gt;</w:instrText>
      </w:r>
      <w:r w:rsidRPr="002B0537">
        <w:rPr>
          <w:rFonts w:ascii="Times New Roman" w:hAnsi="Times New Roman" w:cs="Times New Roman"/>
          <w:iCs/>
          <w:sz w:val="24"/>
          <w:szCs w:val="24"/>
        </w:rPr>
        <w:fldChar w:fldCharType="separate"/>
      </w:r>
      <w:r>
        <w:rPr>
          <w:rFonts w:ascii="Times New Roman" w:hAnsi="Times New Roman" w:cs="Times New Roman"/>
          <w:iCs/>
          <w:noProof/>
          <w:sz w:val="24"/>
          <w:szCs w:val="24"/>
        </w:rPr>
        <w:t>(Podsakoff et al., 2012)</w:t>
      </w:r>
      <w:r w:rsidRPr="002B0537">
        <w:rPr>
          <w:rFonts w:ascii="Times New Roman" w:hAnsi="Times New Roman" w:cs="Times New Roman"/>
          <w:sz w:val="24"/>
          <w:szCs w:val="24"/>
        </w:rPr>
        <w:fldChar w:fldCharType="end"/>
      </w:r>
      <w:r w:rsidRPr="002B0537">
        <w:rPr>
          <w:rFonts w:ascii="Times New Roman" w:hAnsi="Times New Roman" w:cs="Times New Roman"/>
          <w:iCs/>
          <w:sz w:val="24"/>
          <w:szCs w:val="24"/>
        </w:rPr>
        <w:t xml:space="preserve">. </w:t>
      </w:r>
      <w:r w:rsidRPr="00300419">
        <w:rPr>
          <w:rFonts w:ascii="Times New Roman" w:hAnsi="Times New Roman" w:cs="Times New Roman"/>
          <w:iCs/>
          <w:sz w:val="24"/>
          <w:szCs w:val="24"/>
        </w:rPr>
        <w:t xml:space="preserve">Using the principal component analysis approach, six components with eigenvalues larger than 1.0 were created in this process. </w:t>
      </w:r>
      <w:r w:rsidRPr="00B24611">
        <w:rPr>
          <w:rFonts w:ascii="Times New Roman" w:hAnsi="Times New Roman" w:cs="Times New Roman"/>
          <w:iCs/>
          <w:sz w:val="24"/>
          <w:szCs w:val="24"/>
        </w:rPr>
        <w:t>The six components accounted for 72.391% of the variation, with the first factor accounting for</w:t>
      </w:r>
      <w:r>
        <w:rPr>
          <w:rFonts w:ascii="Times New Roman" w:hAnsi="Times New Roman" w:cs="Times New Roman"/>
          <w:iCs/>
          <w:sz w:val="24"/>
          <w:szCs w:val="24"/>
        </w:rPr>
        <w:t xml:space="preserve"> 24.72%, which is less than 50%</w:t>
      </w:r>
      <w:r w:rsidRPr="002B0537">
        <w:rPr>
          <w:rFonts w:ascii="Times New Roman" w:hAnsi="Times New Roman" w:cs="Times New Roman"/>
          <w:iCs/>
          <w:sz w:val="24"/>
          <w:szCs w:val="24"/>
        </w:rPr>
        <w:t xml:space="preserve">. </w:t>
      </w:r>
      <w:r w:rsidRPr="00B24611">
        <w:rPr>
          <w:rFonts w:ascii="Times New Roman" w:hAnsi="Times New Roman" w:cs="Times New Roman"/>
          <w:iCs/>
          <w:sz w:val="24"/>
          <w:szCs w:val="24"/>
        </w:rPr>
        <w:t xml:space="preserve">As a consequence, all of the findings suggested that CMB had no effect on the validity of this study. We investigated the probability of multicollinearity by examining the coefficients of the </w:t>
      </w:r>
      <w:r>
        <w:rPr>
          <w:rFonts w:ascii="Times New Roman" w:hAnsi="Times New Roman" w:cs="Times New Roman"/>
          <w:iCs/>
          <w:sz w:val="24"/>
          <w:szCs w:val="24"/>
        </w:rPr>
        <w:t>variance inflation factor (VIF)</w:t>
      </w:r>
      <w:r w:rsidRPr="002B0537">
        <w:rPr>
          <w:rFonts w:ascii="Times New Roman" w:hAnsi="Times New Roman" w:cs="Times New Roman"/>
          <w:iCs/>
          <w:sz w:val="24"/>
          <w:szCs w:val="24"/>
        </w:rPr>
        <w:t xml:space="preserve">. </w:t>
      </w:r>
      <w:r w:rsidRPr="00A007A4">
        <w:rPr>
          <w:rFonts w:ascii="Times New Roman" w:hAnsi="Times New Roman" w:cs="Times New Roman"/>
          <w:iCs/>
          <w:sz w:val="24"/>
          <w:szCs w:val="24"/>
        </w:rPr>
        <w:t>According to the findings, all VIF values are less than 5, as recommended by</w:t>
      </w:r>
      <w:r w:rsidRPr="002B0537">
        <w:rPr>
          <w:rFonts w:ascii="Times New Roman" w:hAnsi="Times New Roman" w:cs="Times New Roman"/>
          <w:iCs/>
          <w:sz w:val="24"/>
          <w:szCs w:val="24"/>
        </w:rPr>
        <w:t xml:space="preserve"> </w:t>
      </w:r>
      <w:r w:rsidRPr="002B0537">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EN.CITE &lt;EndNote&gt;&lt;Cite AuthorYear="1"&gt;&lt;Author&gt;Hair&lt;/Author&gt;&lt;Year&gt;2011&lt;/Year&gt;&lt;RecNum&gt;3974&lt;/RecNum&gt;&lt;DisplayText&gt;Joe F Hair, Ringle, and Sarstedt (2011)&lt;/DisplayText&gt;&lt;record&gt;&lt;rec-number&gt;3974&lt;/rec-number&gt;&lt;foreign-keys&gt;&lt;key app="EN" db-id="900edwzvlz5zfoeradsxtdxf2swapvrr2ddd" timestamp="1553337346"&gt;3974&lt;/key&gt;&lt;/foreign-keys&gt;&lt;ref-type name="Journal Article"&gt;17&lt;/ref-type&gt;&lt;contributors&gt;&lt;authors&gt;&lt;author&gt;Hair, Joe F&lt;/author&gt;&lt;author&gt;Ringle, Christian M&lt;/author&gt;&lt;author&gt;Sarstedt, Marko&lt;/author&gt;&lt;/authors&gt;&lt;/contributors&gt;&lt;titles&gt;&lt;title&gt;PLS-SEM: Indeed a silver bullet&lt;/title&gt;&lt;secondary-title&gt;Journal of Marketing theory and Practice&lt;/secondary-title&gt;&lt;/titles&gt;&lt;periodical&gt;&lt;full-title&gt;Journal of Marketing theory and Practice&lt;/full-title&gt;&lt;/periodical&gt;&lt;pages&gt;139-152&lt;/pages&gt;&lt;volume&gt;19&lt;/volume&gt;&lt;number&gt;2&lt;/number&gt;&lt;dates&gt;&lt;year&gt;2011&lt;/year&gt;&lt;/dates&gt;&lt;isbn&gt;1069-6679&lt;/isbn&gt;&lt;urls&gt;&lt;/urls&gt;&lt;/record&gt;&lt;/Cite&gt;&lt;/EndNote&gt;</w:instrText>
      </w:r>
      <w:r w:rsidRPr="002B0537">
        <w:rPr>
          <w:rFonts w:ascii="Times New Roman" w:hAnsi="Times New Roman" w:cs="Times New Roman"/>
          <w:iCs/>
          <w:sz w:val="24"/>
          <w:szCs w:val="24"/>
        </w:rPr>
        <w:fldChar w:fldCharType="separate"/>
      </w:r>
      <w:r>
        <w:rPr>
          <w:rFonts w:ascii="Times New Roman" w:hAnsi="Times New Roman" w:cs="Times New Roman"/>
          <w:iCs/>
          <w:noProof/>
          <w:sz w:val="24"/>
          <w:szCs w:val="24"/>
        </w:rPr>
        <w:t>Joe F Hair, Ringle, and Sarstedt (2011)</w:t>
      </w:r>
      <w:r w:rsidRPr="002B0537">
        <w:rPr>
          <w:rFonts w:ascii="Times New Roman" w:hAnsi="Times New Roman" w:cs="Times New Roman"/>
          <w:sz w:val="24"/>
          <w:szCs w:val="24"/>
        </w:rPr>
        <w:fldChar w:fldCharType="end"/>
      </w:r>
      <w:r w:rsidRPr="002B0537">
        <w:rPr>
          <w:rFonts w:ascii="Times New Roman" w:hAnsi="Times New Roman" w:cs="Times New Roman"/>
          <w:iCs/>
          <w:sz w:val="24"/>
          <w:szCs w:val="24"/>
        </w:rPr>
        <w:t xml:space="preserve">. </w:t>
      </w:r>
      <w:r w:rsidRPr="00A007A4">
        <w:rPr>
          <w:rFonts w:ascii="Times New Roman" w:hAnsi="Times New Roman" w:cs="Times New Roman"/>
          <w:iCs/>
          <w:sz w:val="24"/>
          <w:szCs w:val="24"/>
        </w:rPr>
        <w:t>Furthermore, the highest inter-correlation value is 0.68, less than the 0.71 indicated</w:t>
      </w:r>
      <w:r>
        <w:rPr>
          <w:rFonts w:ascii="Times New Roman" w:hAnsi="Times New Roman" w:cs="Times New Roman"/>
          <w:iCs/>
          <w:sz w:val="24"/>
          <w:szCs w:val="24"/>
        </w:rPr>
        <w:t xml:space="preserve"> </w:t>
      </w:r>
      <w:r w:rsidRPr="002B0537">
        <w:rPr>
          <w:rFonts w:ascii="Times New Roman" w:hAnsi="Times New Roman" w:cs="Times New Roman"/>
          <w:iCs/>
          <w:sz w:val="24"/>
          <w:szCs w:val="24"/>
        </w:rPr>
        <w:t xml:space="preserve">by </w:t>
      </w:r>
      <w:r w:rsidRPr="002B0537">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EN.CITE &lt;EndNote&gt;&lt;Cite AuthorYear="1"&gt;&lt;Author&gt;MacKenzie&lt;/Author&gt;&lt;Year&gt;2011&lt;/Year&gt;&lt;RecNum&gt;4221&lt;/RecNum&gt;&lt;DisplayText&gt;MacKenzie, Podsakoff, and Podsakoff (2011)&lt;/DisplayText&gt;&lt;record&gt;&lt;rec-number&gt;4221&lt;/rec-number&gt;&lt;foreign-keys&gt;&lt;key app="EN" db-id="900edwzvlz5zfoeradsxtdxf2swapvrr2ddd" timestamp="1563859710"&gt;4221&lt;/key&gt;&lt;/foreign-keys&gt;&lt;ref-type name="Journal Article"&gt;17&lt;/ref-type&gt;&lt;contributors&gt;&lt;authors&gt;&lt;author&gt;MacKenzie, Scott B&lt;/author&gt;&lt;author&gt;Podsakoff, Philip M&lt;/author&gt;&lt;author&gt;Podsakoff, Nathan P&lt;/author&gt;&lt;/authors&gt;&lt;/contributors&gt;&lt;titles&gt;&lt;title&gt;Construct measurement and validation procedures in MIS and behavioral research: Integrating new and existing techniques&lt;/title&gt;&lt;secondary-title&gt;MIS quarterly&lt;/secondary-title&gt;&lt;/titles&gt;&lt;periodical&gt;&lt;full-title&gt;Mis Quarterly&lt;/full-title&gt;&lt;/periodical&gt;&lt;pages&gt;293-334&lt;/pages&gt;&lt;volume&gt;35&lt;/volume&gt;&lt;number&gt;2&lt;/number&gt;&lt;dates&gt;&lt;year&gt;2011&lt;/year&gt;&lt;/dates&gt;&lt;isbn&gt;0276-7783&lt;/isbn&gt;&lt;urls&gt;&lt;/urls&gt;&lt;/record&gt;&lt;/Cite&gt;&lt;/EndNote&gt;</w:instrText>
      </w:r>
      <w:r w:rsidRPr="002B0537">
        <w:rPr>
          <w:rFonts w:ascii="Times New Roman" w:hAnsi="Times New Roman" w:cs="Times New Roman"/>
          <w:iCs/>
          <w:sz w:val="24"/>
          <w:szCs w:val="24"/>
        </w:rPr>
        <w:fldChar w:fldCharType="separate"/>
      </w:r>
      <w:r>
        <w:rPr>
          <w:rFonts w:ascii="Times New Roman" w:hAnsi="Times New Roman" w:cs="Times New Roman"/>
          <w:iCs/>
          <w:noProof/>
          <w:sz w:val="24"/>
          <w:szCs w:val="24"/>
        </w:rPr>
        <w:t>MacKenzie, Podsakoff, and Podsakoff (2011)</w:t>
      </w:r>
      <w:r w:rsidRPr="002B0537">
        <w:rPr>
          <w:rFonts w:ascii="Times New Roman" w:hAnsi="Times New Roman" w:cs="Times New Roman"/>
          <w:sz w:val="24"/>
          <w:szCs w:val="24"/>
        </w:rPr>
        <w:fldChar w:fldCharType="end"/>
      </w:r>
      <w:r w:rsidRPr="002B0537">
        <w:rPr>
          <w:rFonts w:ascii="Times New Roman" w:hAnsi="Times New Roman" w:cs="Times New Roman"/>
          <w:iCs/>
          <w:sz w:val="24"/>
          <w:szCs w:val="24"/>
        </w:rPr>
        <w:t xml:space="preserve">. </w:t>
      </w:r>
      <w:r w:rsidRPr="00A007A4">
        <w:rPr>
          <w:rFonts w:ascii="Times New Roman" w:hAnsi="Times New Roman" w:cs="Times New Roman"/>
          <w:iCs/>
          <w:sz w:val="24"/>
          <w:szCs w:val="24"/>
        </w:rPr>
        <w:t>As a result, multicollinearity presented no risk to our investigation.</w:t>
      </w:r>
      <w:r w:rsidR="00867769">
        <w:rPr>
          <w:rFonts w:ascii="Times New Roman" w:hAnsi="Times New Roman" w:cs="Times New Roman"/>
          <w:iCs/>
          <w:sz w:val="24"/>
          <w:szCs w:val="24"/>
        </w:rPr>
        <w:t xml:space="preserve"> We have followed previous research in conducting the analyses of our data </w:t>
      </w:r>
      <w:r w:rsidR="00867769" w:rsidRPr="00867769">
        <w:rPr>
          <w:rFonts w:ascii="Times New Roman" w:hAnsi="Times New Roman" w:cs="Times New Roman"/>
          <w:iCs/>
          <w:sz w:val="24"/>
          <w:szCs w:val="24"/>
        </w:rPr>
        <w:t>(Iqbal et al., 2021; Kanwal, Pitafi, Rasheed, Pitafi, &amp; Iqbal, 2022; Luqman, Masood, Shahzad, Imran Rasheed, &amp; Weng, 2020; Luqman, Masood, Weng, Ali, &amp; Rasheed, 2020; Naeem, Weng, Hameed, &amp; Rasheed, 2020; Nisar, Rasheed, &amp; Qiang, 2018; Saleem, Rasheed, Malik, &amp; Okumus, 2021; Zhang, Wu, &amp; Rasheed, 2020)</w:t>
      </w:r>
      <w:r w:rsidR="00867769">
        <w:rPr>
          <w:rFonts w:ascii="Times New Roman" w:hAnsi="Times New Roman" w:cs="Times New Roman"/>
          <w:iCs/>
          <w:sz w:val="24"/>
          <w:szCs w:val="24"/>
        </w:rPr>
        <w:t xml:space="preserve">. </w:t>
      </w:r>
      <w:r w:rsidRPr="00A007A4">
        <w:rPr>
          <w:rFonts w:ascii="Times New Roman" w:hAnsi="Times New Roman" w:cs="Times New Roman"/>
          <w:iCs/>
          <w:sz w:val="24"/>
          <w:szCs w:val="24"/>
        </w:rPr>
        <w:t xml:space="preserve">      </w:t>
      </w:r>
      <w:r w:rsidRPr="002B0537">
        <w:rPr>
          <w:rFonts w:ascii="Times New Roman" w:hAnsi="Times New Roman" w:cs="Times New Roman"/>
          <w:iCs/>
          <w:sz w:val="24"/>
          <w:szCs w:val="24"/>
        </w:rPr>
        <w:t xml:space="preserve">                  </w:t>
      </w:r>
    </w:p>
    <w:p w:rsidR="00DE5BBE" w:rsidRDefault="00DE5BBE" w:rsidP="00DE5BBE">
      <w:pPr>
        <w:rPr>
          <w:rFonts w:ascii="Times New Roman" w:hAnsi="Times New Roman" w:cs="Times New Roman"/>
          <w:b/>
          <w:sz w:val="24"/>
          <w:szCs w:val="24"/>
        </w:rPr>
      </w:pPr>
      <w:r>
        <w:rPr>
          <w:rFonts w:ascii="Times New Roman" w:hAnsi="Times New Roman" w:cs="Times New Roman"/>
          <w:b/>
          <w:sz w:val="24"/>
          <w:szCs w:val="24"/>
        </w:rPr>
        <w:t>Hypothesis Testing</w:t>
      </w:r>
    </w:p>
    <w:p w:rsidR="00DE5BBE" w:rsidRDefault="00DE5BBE" w:rsidP="00E22183">
      <w:pPr>
        <w:spacing w:line="240" w:lineRule="auto"/>
        <w:jc w:val="both"/>
        <w:rPr>
          <w:rFonts w:ascii="Times New Roman" w:hAnsi="Times New Roman" w:cs="Times New Roman"/>
          <w:iCs/>
          <w:sz w:val="24"/>
          <w:szCs w:val="24"/>
        </w:rPr>
      </w:pPr>
      <w:r w:rsidRPr="00842187">
        <w:rPr>
          <w:rFonts w:ascii="Times New Roman" w:hAnsi="Times New Roman" w:cs="Times New Roman"/>
          <w:iCs/>
          <w:sz w:val="24"/>
          <w:szCs w:val="24"/>
        </w:rPr>
        <w:lastRenderedPageBreak/>
        <w:t xml:space="preserve">The complete relationship among variables was </w:t>
      </w:r>
      <w:proofErr w:type="spellStart"/>
      <w:r w:rsidRPr="00842187">
        <w:rPr>
          <w:rFonts w:ascii="Times New Roman" w:hAnsi="Times New Roman" w:cs="Times New Roman"/>
          <w:iCs/>
          <w:sz w:val="24"/>
          <w:szCs w:val="24"/>
        </w:rPr>
        <w:t>analysed</w:t>
      </w:r>
      <w:proofErr w:type="spellEnd"/>
      <w:r w:rsidRPr="00842187">
        <w:rPr>
          <w:rFonts w:ascii="Times New Roman" w:hAnsi="Times New Roman" w:cs="Times New Roman"/>
          <w:iCs/>
          <w:sz w:val="24"/>
          <w:szCs w:val="24"/>
        </w:rPr>
        <w:t xml:space="preserve"> employing structural equation modelling (SEM) following the vali</w:t>
      </w:r>
      <w:r>
        <w:rPr>
          <w:rFonts w:ascii="Times New Roman" w:hAnsi="Times New Roman" w:cs="Times New Roman"/>
          <w:iCs/>
          <w:sz w:val="24"/>
          <w:szCs w:val="24"/>
        </w:rPr>
        <w:t>dity and reliability analyses</w:t>
      </w:r>
      <w:r w:rsidRPr="00842187">
        <w:rPr>
          <w:rFonts w:ascii="Times New Roman" w:hAnsi="Times New Roman" w:cs="Times New Roman"/>
          <w:iCs/>
          <w:sz w:val="24"/>
          <w:szCs w:val="24"/>
        </w:rPr>
        <w:t xml:space="preserve">   </w:t>
      </w:r>
      <w:r w:rsidRPr="00A007A4">
        <w:rPr>
          <w:rFonts w:ascii="Times New Roman" w:hAnsi="Times New Roman" w:cs="Times New Roman"/>
          <w:iCs/>
          <w:sz w:val="24"/>
          <w:szCs w:val="24"/>
        </w:rPr>
        <w:fldChar w:fldCharType="begin"/>
      </w:r>
      <w:r w:rsidRPr="00A007A4">
        <w:rPr>
          <w:rFonts w:ascii="Times New Roman" w:hAnsi="Times New Roman" w:cs="Times New Roman"/>
          <w:iCs/>
          <w:sz w:val="24"/>
          <w:szCs w:val="24"/>
        </w:rPr>
        <w:instrText xml:space="preserve"> ADDIN EN.CITE &lt;EndNote&gt;&lt;Cite&gt;&lt;Author&gt;Hair&lt;/Author&gt;&lt;Year&gt;2019&lt;/Year&gt;&lt;RecNum&gt;4256&lt;/RecNum&gt;&lt;DisplayText&gt;(Joseph F Hair, Risher, Sarstedt, &amp;amp; Ringle, 2019)&lt;/DisplayText&gt;&lt;record&gt;&lt;rec-number&gt;4256&lt;/rec-number&gt;&lt;foreign-keys&gt;&lt;key app="EN" db-id="900edwzvlz5zfoeradsxtdxf2swapvrr2ddd" timestamp="1566104032"&gt;4256&lt;/key&gt;&lt;/foreign-keys&gt;&lt;ref-type name="Journal Article"&gt;17&lt;/ref-type&gt;&lt;contributors&gt;&lt;authors&gt;&lt;author&gt;Hair, Joseph F&lt;/author&gt;&lt;author&gt;Risher, Jeffrey J&lt;/author&gt;&lt;author&gt;Sarstedt, Marko&lt;/author&gt;&lt;author&gt;Ringle, Christian M&lt;/author&gt;&lt;/authors&gt;&lt;/contributors&gt;&lt;titles&gt;&lt;title&gt;When to use and how to report the results of PLS-SEM&lt;/title&gt;&lt;secondary-title&gt;European Business Review&lt;/secondary-title&gt;&lt;/titles&gt;&lt;periodical&gt;&lt;full-title&gt;European Business Review&lt;/full-title&gt;&lt;/periodical&gt;&lt;pages&gt;2-24&lt;/pages&gt;&lt;volume&gt;31&lt;/volume&gt;&lt;number&gt;1&lt;/number&gt;&lt;dates&gt;&lt;year&gt;2019&lt;/year&gt;&lt;/dates&gt;&lt;isbn&gt;0955-534X&lt;/isbn&gt;&lt;urls&gt;&lt;/urls&gt;&lt;/record&gt;&lt;/Cite&gt;&lt;/EndNote&gt;</w:instrText>
      </w:r>
      <w:r w:rsidRPr="00A007A4">
        <w:rPr>
          <w:rFonts w:ascii="Times New Roman" w:hAnsi="Times New Roman" w:cs="Times New Roman"/>
          <w:iCs/>
          <w:sz w:val="24"/>
          <w:szCs w:val="24"/>
        </w:rPr>
        <w:fldChar w:fldCharType="separate"/>
      </w:r>
      <w:r w:rsidRPr="00A007A4">
        <w:rPr>
          <w:rFonts w:ascii="Times New Roman" w:hAnsi="Times New Roman" w:cs="Times New Roman"/>
          <w:iCs/>
          <w:sz w:val="24"/>
          <w:szCs w:val="24"/>
        </w:rPr>
        <w:t>(Joseph F Hair, Risher, Sarstedt, &amp; Ringle, 2019)</w:t>
      </w:r>
      <w:r w:rsidRPr="00A007A4">
        <w:rPr>
          <w:rFonts w:ascii="Times New Roman" w:hAnsi="Times New Roman" w:cs="Times New Roman"/>
          <w:sz w:val="24"/>
          <w:szCs w:val="24"/>
        </w:rPr>
        <w:fldChar w:fldCharType="end"/>
      </w:r>
      <w:r w:rsidRPr="00A007A4">
        <w:rPr>
          <w:rFonts w:ascii="Times New Roman" w:hAnsi="Times New Roman" w:cs="Times New Roman"/>
          <w:iCs/>
          <w:sz w:val="24"/>
          <w:szCs w:val="24"/>
        </w:rPr>
        <w:t>. All the hypothesis was tested using the S</w:t>
      </w:r>
      <w:r>
        <w:rPr>
          <w:rFonts w:ascii="Times New Roman" w:hAnsi="Times New Roman" w:cs="Times New Roman"/>
          <w:iCs/>
          <w:sz w:val="24"/>
          <w:szCs w:val="24"/>
        </w:rPr>
        <w:t xml:space="preserve">EM in AMOS 24.0 version. </w:t>
      </w:r>
      <w:r w:rsidRPr="00842187">
        <w:rPr>
          <w:rFonts w:ascii="Times New Roman" w:hAnsi="Times New Roman" w:cs="Times New Roman"/>
          <w:iCs/>
          <w:sz w:val="24"/>
          <w:szCs w:val="24"/>
        </w:rPr>
        <w:t xml:space="preserve">Table 5 demonstrates that the predicted model fit values in the SEM model are within the range specified by  </w:t>
      </w:r>
      <w:r w:rsidRPr="00A007A4">
        <w:rPr>
          <w:rFonts w:ascii="Times New Roman" w:hAnsi="Times New Roman" w:cs="Times New Roman"/>
          <w:iCs/>
          <w:sz w:val="24"/>
          <w:szCs w:val="24"/>
        </w:rPr>
        <w:fldChar w:fldCharType="begin"/>
      </w:r>
      <w:r w:rsidRPr="00A007A4">
        <w:rPr>
          <w:rFonts w:ascii="Times New Roman" w:hAnsi="Times New Roman" w:cs="Times New Roman"/>
          <w:iCs/>
          <w:sz w:val="24"/>
          <w:szCs w:val="24"/>
        </w:rPr>
        <w:instrText xml:space="preserve"> ADDIN EN.CITE &lt;EndNote&gt;&lt;Cite&gt;&lt;Author&gt;Hair&lt;/Author&gt;&lt;Year&gt;2017&lt;/Year&gt;&lt;RecNum&gt;4245&lt;/RecNum&gt;&lt;DisplayText&gt;(J. Hair, Hollingsworth, Randolph, &amp;amp; Chong, 2017)&lt;/DisplayText&gt;&lt;record&gt;&lt;rec-number&gt;4245&lt;/rec-number&gt;&lt;foreign-keys&gt;&lt;key app="EN" db-id="900edwzvlz5zfoeradsxtdxf2swapvrr2ddd" timestamp="1565235545"&gt;4245&lt;/key&gt;&lt;/foreign-keys&gt;&lt;ref-type name="Journal Article"&gt;17&lt;/ref-type&gt;&lt;contributors&gt;&lt;authors&gt;&lt;author&gt;Hair, Joe&lt;/author&gt;&lt;author&gt;Hollingsworth, Carole L&lt;/author&gt;&lt;author&gt;Randolph, Adriane B&lt;/author&gt;&lt;author&gt;Chong, Alain Yee Loong&lt;/author&gt;&lt;/authors&gt;&lt;/contributors&gt;&lt;titles&gt;&lt;title&gt;An updated and expanded assessment of PLS-SEM in information systems research&lt;/title&gt;&lt;secondary-title&gt;Industrial Management &amp;amp; Data Systems&lt;/secondary-title&gt;&lt;/titles&gt;&lt;periodical&gt;&lt;full-title&gt;Industrial Management &amp;amp; Data Systems&lt;/full-title&gt;&lt;/periodical&gt;&lt;pages&gt;442-458&lt;/pages&gt;&lt;volume&gt;117&lt;/volume&gt;&lt;number&gt;3&lt;/number&gt;&lt;dates&gt;&lt;year&gt;2017&lt;/year&gt;&lt;/dates&gt;&lt;isbn&gt;0263-5577&lt;/isbn&gt;&lt;urls&gt;&lt;/urls&gt;&lt;/record&gt;&lt;/Cite&gt;&lt;/EndNote&gt;</w:instrText>
      </w:r>
      <w:r w:rsidRPr="00A007A4">
        <w:rPr>
          <w:rFonts w:ascii="Times New Roman" w:hAnsi="Times New Roman" w:cs="Times New Roman"/>
          <w:iCs/>
          <w:sz w:val="24"/>
          <w:szCs w:val="24"/>
        </w:rPr>
        <w:fldChar w:fldCharType="separate"/>
      </w:r>
      <w:r w:rsidRPr="00A007A4">
        <w:rPr>
          <w:rFonts w:ascii="Times New Roman" w:hAnsi="Times New Roman" w:cs="Times New Roman"/>
          <w:iCs/>
          <w:noProof/>
          <w:sz w:val="24"/>
          <w:szCs w:val="24"/>
        </w:rPr>
        <w:t>(J. Hair, Hollingsworth, Randolph, &amp; Chong, 2017)</w:t>
      </w:r>
      <w:r w:rsidRPr="00A007A4">
        <w:rPr>
          <w:rFonts w:ascii="Times New Roman" w:hAnsi="Times New Roman" w:cs="Times New Roman"/>
          <w:sz w:val="24"/>
          <w:szCs w:val="24"/>
        </w:rPr>
        <w:fldChar w:fldCharType="end"/>
      </w:r>
      <w:r w:rsidRPr="00A007A4">
        <w:rPr>
          <w:rFonts w:ascii="Times New Roman" w:hAnsi="Times New Roman" w:cs="Times New Roman"/>
          <w:iCs/>
          <w:sz w:val="24"/>
          <w:szCs w:val="24"/>
        </w:rPr>
        <w:t>. The fit indices are (REMSA = 0.05</w:t>
      </w:r>
      <w:r>
        <w:rPr>
          <w:rFonts w:ascii="Times New Roman" w:hAnsi="Times New Roman" w:cs="Times New Roman"/>
          <w:iCs/>
          <w:sz w:val="24"/>
          <w:szCs w:val="24"/>
        </w:rPr>
        <w:t>3</w:t>
      </w:r>
      <w:r w:rsidRPr="00A007A4">
        <w:rPr>
          <w:rFonts w:ascii="Times New Roman" w:hAnsi="Times New Roman" w:cs="Times New Roman"/>
          <w:iCs/>
          <w:sz w:val="24"/>
          <w:szCs w:val="24"/>
        </w:rPr>
        <w:t>, SRMR = 0.05</w:t>
      </w:r>
      <w:r>
        <w:rPr>
          <w:rFonts w:ascii="Times New Roman" w:hAnsi="Times New Roman" w:cs="Times New Roman"/>
          <w:iCs/>
          <w:sz w:val="24"/>
          <w:szCs w:val="24"/>
        </w:rPr>
        <w:t>0, NFI = 0.821</w:t>
      </w:r>
      <w:r w:rsidRPr="00A007A4">
        <w:rPr>
          <w:rFonts w:ascii="Times New Roman" w:hAnsi="Times New Roman" w:cs="Times New Roman"/>
          <w:iCs/>
          <w:sz w:val="24"/>
          <w:szCs w:val="24"/>
        </w:rPr>
        <w:t>, PNFI = 0.8</w:t>
      </w:r>
      <w:r>
        <w:rPr>
          <w:rFonts w:ascii="Times New Roman" w:hAnsi="Times New Roman" w:cs="Times New Roman"/>
          <w:iCs/>
          <w:sz w:val="24"/>
          <w:szCs w:val="24"/>
        </w:rPr>
        <w:t>29</w:t>
      </w:r>
      <w:r w:rsidRPr="00A007A4">
        <w:rPr>
          <w:rFonts w:ascii="Times New Roman" w:hAnsi="Times New Roman" w:cs="Times New Roman"/>
          <w:iCs/>
          <w:sz w:val="24"/>
          <w:szCs w:val="24"/>
        </w:rPr>
        <w:t>, CFI = 0</w:t>
      </w:r>
      <w:r>
        <w:rPr>
          <w:rFonts w:ascii="Times New Roman" w:hAnsi="Times New Roman" w:cs="Times New Roman"/>
          <w:iCs/>
          <w:sz w:val="24"/>
          <w:szCs w:val="24"/>
        </w:rPr>
        <w:t>.86, IFI = 0.8</w:t>
      </w:r>
      <w:r w:rsidRPr="00A007A4">
        <w:rPr>
          <w:rFonts w:ascii="Times New Roman" w:hAnsi="Times New Roman" w:cs="Times New Roman"/>
          <w:iCs/>
          <w:sz w:val="24"/>
          <w:szCs w:val="24"/>
        </w:rPr>
        <w:t>4</w:t>
      </w:r>
      <w:r>
        <w:rPr>
          <w:rFonts w:ascii="Times New Roman" w:hAnsi="Times New Roman" w:cs="Times New Roman"/>
          <w:iCs/>
          <w:sz w:val="24"/>
          <w:szCs w:val="24"/>
        </w:rPr>
        <w:t>5, TLI = 0.853, χ2/D.F. = 397</w:t>
      </w:r>
      <w:r w:rsidRPr="00A007A4">
        <w:rPr>
          <w:rFonts w:ascii="Times New Roman" w:hAnsi="Times New Roman" w:cs="Times New Roman"/>
          <w:iCs/>
          <w:sz w:val="24"/>
          <w:szCs w:val="24"/>
        </w:rPr>
        <w:t xml:space="preserve">2).  </w:t>
      </w:r>
    </w:p>
    <w:p w:rsidR="00DE5BBE" w:rsidRPr="009563D2" w:rsidRDefault="00DE5BBE" w:rsidP="00DE5BBE">
      <w:pPr>
        <w:jc w:val="center"/>
        <w:rPr>
          <w:rFonts w:ascii="Times New Roman" w:hAnsi="Times New Roman" w:cs="Times New Roman"/>
          <w:sz w:val="24"/>
          <w:szCs w:val="24"/>
        </w:rPr>
      </w:pPr>
      <w:r w:rsidRPr="009563D2">
        <w:rPr>
          <w:rFonts w:ascii="Times New Roman" w:hAnsi="Times New Roman" w:cs="Times New Roman"/>
          <w:sz w:val="24"/>
          <w:szCs w:val="24"/>
        </w:rPr>
        <w:t>Table 5: Comparison measure model and structural model</w:t>
      </w:r>
    </w:p>
    <w:tbl>
      <w:tblPr>
        <w:tblStyle w:val="TableGrid21"/>
        <w:tblW w:w="9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350"/>
        <w:gridCol w:w="990"/>
        <w:gridCol w:w="1144"/>
        <w:gridCol w:w="1556"/>
        <w:gridCol w:w="810"/>
        <w:gridCol w:w="1620"/>
        <w:gridCol w:w="720"/>
        <w:gridCol w:w="720"/>
      </w:tblGrid>
      <w:tr w:rsidR="00DE5BBE" w:rsidRPr="009563D2" w:rsidTr="00935264">
        <w:trPr>
          <w:jc w:val="center"/>
        </w:trPr>
        <w:tc>
          <w:tcPr>
            <w:tcW w:w="990" w:type="dxa"/>
            <w:tcBorders>
              <w:top w:val="single" w:sz="12" w:space="0" w:color="auto"/>
              <w:left w:val="nil"/>
              <w:bottom w:val="single" w:sz="12" w:space="0" w:color="auto"/>
              <w:right w:val="nil"/>
            </w:tcBorders>
          </w:tcPr>
          <w:p w:rsidR="00DE5BBE" w:rsidRPr="009563D2" w:rsidRDefault="00DE5BBE" w:rsidP="00935264">
            <w:pPr>
              <w:rPr>
                <w:rFonts w:ascii="Times New Roman" w:eastAsiaTheme="minorHAnsi" w:hAnsi="Times New Roman"/>
              </w:rPr>
            </w:pPr>
          </w:p>
        </w:tc>
        <w:tc>
          <w:tcPr>
            <w:tcW w:w="1350" w:type="dxa"/>
            <w:tcBorders>
              <w:top w:val="single" w:sz="12" w:space="0" w:color="auto"/>
              <w:left w:val="nil"/>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Absolute fit measures</w:t>
            </w:r>
          </w:p>
        </w:tc>
        <w:tc>
          <w:tcPr>
            <w:tcW w:w="990" w:type="dxa"/>
            <w:tcBorders>
              <w:top w:val="single" w:sz="12" w:space="0" w:color="auto"/>
              <w:left w:val="nil"/>
              <w:bottom w:val="single" w:sz="12" w:space="0" w:color="auto"/>
              <w:right w:val="nil"/>
            </w:tcBorders>
          </w:tcPr>
          <w:p w:rsidR="00DE5BBE" w:rsidRPr="009563D2" w:rsidRDefault="00DE5BBE" w:rsidP="00935264">
            <w:pPr>
              <w:rPr>
                <w:rFonts w:ascii="Times New Roman" w:eastAsiaTheme="minorHAnsi" w:hAnsi="Times New Roman"/>
              </w:rPr>
            </w:pPr>
          </w:p>
        </w:tc>
        <w:tc>
          <w:tcPr>
            <w:tcW w:w="1144" w:type="dxa"/>
            <w:tcBorders>
              <w:top w:val="single" w:sz="12" w:space="0" w:color="auto"/>
              <w:left w:val="nil"/>
              <w:bottom w:val="single" w:sz="12" w:space="0" w:color="auto"/>
              <w:right w:val="single" w:sz="4" w:space="0" w:color="auto"/>
            </w:tcBorders>
          </w:tcPr>
          <w:p w:rsidR="00DE5BBE" w:rsidRPr="009563D2" w:rsidRDefault="00DE5BBE" w:rsidP="00935264">
            <w:pPr>
              <w:rPr>
                <w:rFonts w:ascii="Times New Roman" w:eastAsiaTheme="minorHAnsi" w:hAnsi="Times New Roman"/>
              </w:rPr>
            </w:pPr>
          </w:p>
        </w:tc>
        <w:tc>
          <w:tcPr>
            <w:tcW w:w="1556" w:type="dxa"/>
            <w:tcBorders>
              <w:top w:val="single" w:sz="12" w:space="0" w:color="auto"/>
              <w:left w:val="single" w:sz="4" w:space="0" w:color="auto"/>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Incremental fit measures</w:t>
            </w:r>
          </w:p>
        </w:tc>
        <w:tc>
          <w:tcPr>
            <w:tcW w:w="810" w:type="dxa"/>
            <w:tcBorders>
              <w:top w:val="single" w:sz="12" w:space="0" w:color="auto"/>
              <w:left w:val="nil"/>
              <w:bottom w:val="single" w:sz="12" w:space="0" w:color="auto"/>
              <w:right w:val="single" w:sz="4" w:space="0" w:color="auto"/>
            </w:tcBorders>
          </w:tcPr>
          <w:p w:rsidR="00DE5BBE" w:rsidRPr="009563D2" w:rsidRDefault="00DE5BBE" w:rsidP="00935264">
            <w:pPr>
              <w:rPr>
                <w:rFonts w:ascii="Times New Roman" w:eastAsiaTheme="minorHAnsi" w:hAnsi="Times New Roman"/>
              </w:rPr>
            </w:pPr>
          </w:p>
        </w:tc>
        <w:tc>
          <w:tcPr>
            <w:tcW w:w="1620" w:type="dxa"/>
            <w:tcBorders>
              <w:top w:val="single" w:sz="12" w:space="0" w:color="auto"/>
              <w:left w:val="single" w:sz="4" w:space="0" w:color="auto"/>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Parsimonious fit measures</w:t>
            </w:r>
          </w:p>
        </w:tc>
        <w:tc>
          <w:tcPr>
            <w:tcW w:w="720" w:type="dxa"/>
            <w:tcBorders>
              <w:top w:val="single" w:sz="12" w:space="0" w:color="auto"/>
              <w:left w:val="nil"/>
              <w:bottom w:val="single" w:sz="12" w:space="0" w:color="auto"/>
              <w:right w:val="nil"/>
            </w:tcBorders>
          </w:tcPr>
          <w:p w:rsidR="00DE5BBE" w:rsidRPr="009563D2" w:rsidRDefault="00DE5BBE" w:rsidP="00935264">
            <w:pPr>
              <w:rPr>
                <w:rFonts w:ascii="Times New Roman" w:eastAsiaTheme="minorHAnsi" w:hAnsi="Times New Roman"/>
              </w:rPr>
            </w:pPr>
          </w:p>
        </w:tc>
        <w:tc>
          <w:tcPr>
            <w:tcW w:w="720" w:type="dxa"/>
            <w:tcBorders>
              <w:top w:val="single" w:sz="12" w:space="0" w:color="auto"/>
              <w:left w:val="nil"/>
              <w:bottom w:val="single" w:sz="12" w:space="0" w:color="auto"/>
              <w:right w:val="nil"/>
            </w:tcBorders>
          </w:tcPr>
          <w:p w:rsidR="00DE5BBE" w:rsidRPr="009563D2" w:rsidRDefault="00DE5BBE" w:rsidP="00935264">
            <w:pPr>
              <w:rPr>
                <w:rFonts w:ascii="Times New Roman" w:eastAsiaTheme="minorHAnsi" w:hAnsi="Times New Roman"/>
              </w:rPr>
            </w:pPr>
          </w:p>
        </w:tc>
      </w:tr>
      <w:tr w:rsidR="00DE5BBE" w:rsidRPr="009563D2" w:rsidTr="00935264">
        <w:trPr>
          <w:jc w:val="center"/>
        </w:trPr>
        <w:tc>
          <w:tcPr>
            <w:tcW w:w="990" w:type="dxa"/>
            <w:tcBorders>
              <w:top w:val="single" w:sz="12" w:space="0" w:color="auto"/>
              <w:left w:val="nil"/>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Model</w:t>
            </w:r>
          </w:p>
        </w:tc>
        <w:tc>
          <w:tcPr>
            <w:tcW w:w="1350" w:type="dxa"/>
            <w:tcBorders>
              <w:top w:val="single" w:sz="12" w:space="0" w:color="auto"/>
              <w:left w:val="nil"/>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 xml:space="preserve">X </w:t>
            </w:r>
            <w:r w:rsidRPr="009563D2">
              <w:rPr>
                <w:rFonts w:ascii="Times New Roman" w:eastAsiaTheme="minorHAnsi" w:hAnsi="Times New Roman"/>
                <w:vertAlign w:val="superscript"/>
              </w:rPr>
              <w:t>2</w:t>
            </w:r>
            <w:r w:rsidRPr="009563D2">
              <w:rPr>
                <w:rFonts w:ascii="Times New Roman" w:eastAsiaTheme="minorHAnsi" w:hAnsi="Times New Roman"/>
              </w:rPr>
              <w:t>/DF</w:t>
            </w:r>
          </w:p>
        </w:tc>
        <w:tc>
          <w:tcPr>
            <w:tcW w:w="990" w:type="dxa"/>
            <w:tcBorders>
              <w:top w:val="single" w:sz="12" w:space="0" w:color="auto"/>
              <w:left w:val="nil"/>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SRMR</w:t>
            </w:r>
          </w:p>
        </w:tc>
        <w:tc>
          <w:tcPr>
            <w:tcW w:w="1144" w:type="dxa"/>
            <w:tcBorders>
              <w:top w:val="single" w:sz="12" w:space="0" w:color="auto"/>
              <w:left w:val="nil"/>
              <w:bottom w:val="single" w:sz="12" w:space="0" w:color="auto"/>
              <w:right w:val="single" w:sz="4" w:space="0" w:color="auto"/>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RMSEA</w:t>
            </w:r>
          </w:p>
        </w:tc>
        <w:tc>
          <w:tcPr>
            <w:tcW w:w="1556" w:type="dxa"/>
            <w:tcBorders>
              <w:top w:val="single" w:sz="12" w:space="0" w:color="auto"/>
              <w:left w:val="single" w:sz="4" w:space="0" w:color="auto"/>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 xml:space="preserve">NFI </w:t>
            </w:r>
          </w:p>
        </w:tc>
        <w:tc>
          <w:tcPr>
            <w:tcW w:w="810" w:type="dxa"/>
            <w:tcBorders>
              <w:top w:val="single" w:sz="12" w:space="0" w:color="auto"/>
              <w:left w:val="nil"/>
              <w:bottom w:val="single" w:sz="12" w:space="0" w:color="auto"/>
              <w:right w:val="single" w:sz="4" w:space="0" w:color="auto"/>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PNFI</w:t>
            </w:r>
          </w:p>
        </w:tc>
        <w:tc>
          <w:tcPr>
            <w:tcW w:w="1620" w:type="dxa"/>
            <w:tcBorders>
              <w:top w:val="single" w:sz="12" w:space="0" w:color="auto"/>
              <w:left w:val="single" w:sz="4" w:space="0" w:color="auto"/>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 xml:space="preserve">CFI </w:t>
            </w:r>
          </w:p>
        </w:tc>
        <w:tc>
          <w:tcPr>
            <w:tcW w:w="720" w:type="dxa"/>
            <w:tcBorders>
              <w:top w:val="single" w:sz="12" w:space="0" w:color="auto"/>
              <w:left w:val="nil"/>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 xml:space="preserve">IFI </w:t>
            </w:r>
          </w:p>
        </w:tc>
        <w:tc>
          <w:tcPr>
            <w:tcW w:w="720" w:type="dxa"/>
            <w:tcBorders>
              <w:top w:val="single" w:sz="12" w:space="0" w:color="auto"/>
              <w:left w:val="nil"/>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TLI</w:t>
            </w:r>
          </w:p>
        </w:tc>
      </w:tr>
      <w:tr w:rsidR="00DE5BBE" w:rsidRPr="009563D2" w:rsidTr="00935264">
        <w:trPr>
          <w:jc w:val="center"/>
        </w:trPr>
        <w:tc>
          <w:tcPr>
            <w:tcW w:w="990" w:type="dxa"/>
            <w:tcBorders>
              <w:top w:val="single" w:sz="12" w:space="0" w:color="auto"/>
              <w:left w:val="nil"/>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MM</w:t>
            </w:r>
          </w:p>
        </w:tc>
        <w:tc>
          <w:tcPr>
            <w:tcW w:w="1350" w:type="dxa"/>
            <w:tcBorders>
              <w:top w:val="single" w:sz="12" w:space="0" w:color="auto"/>
              <w:left w:val="nil"/>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1.677</w:t>
            </w:r>
          </w:p>
        </w:tc>
        <w:tc>
          <w:tcPr>
            <w:tcW w:w="990" w:type="dxa"/>
            <w:tcBorders>
              <w:top w:val="single" w:sz="12" w:space="0" w:color="auto"/>
              <w:left w:val="nil"/>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0.050</w:t>
            </w:r>
          </w:p>
        </w:tc>
        <w:tc>
          <w:tcPr>
            <w:tcW w:w="1144" w:type="dxa"/>
            <w:tcBorders>
              <w:top w:val="single" w:sz="12" w:space="0" w:color="auto"/>
              <w:left w:val="nil"/>
              <w:bottom w:val="single" w:sz="12" w:space="0" w:color="auto"/>
              <w:right w:val="single" w:sz="4" w:space="0" w:color="auto"/>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0.053</w:t>
            </w:r>
          </w:p>
        </w:tc>
        <w:tc>
          <w:tcPr>
            <w:tcW w:w="1556" w:type="dxa"/>
            <w:tcBorders>
              <w:top w:val="single" w:sz="12" w:space="0" w:color="auto"/>
              <w:left w:val="single" w:sz="4" w:space="0" w:color="auto"/>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0.914</w:t>
            </w:r>
          </w:p>
        </w:tc>
        <w:tc>
          <w:tcPr>
            <w:tcW w:w="810" w:type="dxa"/>
            <w:tcBorders>
              <w:top w:val="single" w:sz="12" w:space="0" w:color="auto"/>
              <w:left w:val="nil"/>
              <w:bottom w:val="single" w:sz="12" w:space="0" w:color="auto"/>
              <w:right w:val="single" w:sz="4" w:space="0" w:color="auto"/>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0.876</w:t>
            </w:r>
          </w:p>
        </w:tc>
        <w:tc>
          <w:tcPr>
            <w:tcW w:w="1620" w:type="dxa"/>
            <w:tcBorders>
              <w:top w:val="single" w:sz="12" w:space="0" w:color="auto"/>
              <w:left w:val="single" w:sz="4" w:space="0" w:color="auto"/>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0.968</w:t>
            </w:r>
          </w:p>
        </w:tc>
        <w:tc>
          <w:tcPr>
            <w:tcW w:w="720" w:type="dxa"/>
            <w:tcBorders>
              <w:top w:val="single" w:sz="12" w:space="0" w:color="auto"/>
              <w:left w:val="nil"/>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0.968</w:t>
            </w:r>
          </w:p>
        </w:tc>
        <w:tc>
          <w:tcPr>
            <w:tcW w:w="720" w:type="dxa"/>
            <w:tcBorders>
              <w:top w:val="single" w:sz="12" w:space="0" w:color="auto"/>
              <w:left w:val="nil"/>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0.963</w:t>
            </w:r>
          </w:p>
        </w:tc>
      </w:tr>
      <w:tr w:rsidR="00DE5BBE" w:rsidRPr="009563D2" w:rsidTr="00935264">
        <w:trPr>
          <w:jc w:val="center"/>
        </w:trPr>
        <w:tc>
          <w:tcPr>
            <w:tcW w:w="990" w:type="dxa"/>
            <w:tcBorders>
              <w:top w:val="single" w:sz="12" w:space="0" w:color="auto"/>
              <w:left w:val="nil"/>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SEM</w:t>
            </w:r>
          </w:p>
        </w:tc>
        <w:tc>
          <w:tcPr>
            <w:tcW w:w="1350" w:type="dxa"/>
            <w:tcBorders>
              <w:top w:val="single" w:sz="12" w:space="0" w:color="auto"/>
              <w:left w:val="nil"/>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3.972</w:t>
            </w:r>
          </w:p>
        </w:tc>
        <w:tc>
          <w:tcPr>
            <w:tcW w:w="990" w:type="dxa"/>
            <w:tcBorders>
              <w:top w:val="single" w:sz="12" w:space="0" w:color="auto"/>
              <w:left w:val="nil"/>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0.081</w:t>
            </w:r>
          </w:p>
        </w:tc>
        <w:tc>
          <w:tcPr>
            <w:tcW w:w="1144" w:type="dxa"/>
            <w:tcBorders>
              <w:top w:val="single" w:sz="12" w:space="0" w:color="auto"/>
              <w:left w:val="nil"/>
              <w:bottom w:val="single" w:sz="12" w:space="0" w:color="auto"/>
              <w:right w:val="single" w:sz="4" w:space="0" w:color="auto"/>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0.058</w:t>
            </w:r>
          </w:p>
        </w:tc>
        <w:tc>
          <w:tcPr>
            <w:tcW w:w="1556" w:type="dxa"/>
            <w:tcBorders>
              <w:top w:val="single" w:sz="12" w:space="0" w:color="auto"/>
              <w:left w:val="single" w:sz="4" w:space="0" w:color="auto"/>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0.821</w:t>
            </w:r>
          </w:p>
        </w:tc>
        <w:tc>
          <w:tcPr>
            <w:tcW w:w="810" w:type="dxa"/>
            <w:tcBorders>
              <w:top w:val="single" w:sz="12" w:space="0" w:color="auto"/>
              <w:left w:val="nil"/>
              <w:bottom w:val="single" w:sz="12" w:space="0" w:color="auto"/>
              <w:right w:val="single" w:sz="4" w:space="0" w:color="auto"/>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0.829</w:t>
            </w:r>
          </w:p>
        </w:tc>
        <w:tc>
          <w:tcPr>
            <w:tcW w:w="1620" w:type="dxa"/>
            <w:tcBorders>
              <w:top w:val="single" w:sz="12" w:space="0" w:color="auto"/>
              <w:left w:val="single" w:sz="4" w:space="0" w:color="auto"/>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0.867</w:t>
            </w:r>
          </w:p>
        </w:tc>
        <w:tc>
          <w:tcPr>
            <w:tcW w:w="720" w:type="dxa"/>
            <w:tcBorders>
              <w:top w:val="single" w:sz="12" w:space="0" w:color="auto"/>
              <w:left w:val="nil"/>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0.845</w:t>
            </w:r>
          </w:p>
        </w:tc>
        <w:tc>
          <w:tcPr>
            <w:tcW w:w="720" w:type="dxa"/>
            <w:tcBorders>
              <w:top w:val="single" w:sz="12" w:space="0" w:color="auto"/>
              <w:left w:val="nil"/>
              <w:bottom w:val="single" w:sz="12" w:space="0" w:color="auto"/>
              <w:right w:val="nil"/>
            </w:tcBorders>
            <w:hideMark/>
          </w:tcPr>
          <w:p w:rsidR="00DE5BBE" w:rsidRPr="009563D2" w:rsidRDefault="00DE5BBE" w:rsidP="00935264">
            <w:pPr>
              <w:rPr>
                <w:rFonts w:ascii="Times New Roman" w:eastAsiaTheme="minorHAnsi" w:hAnsi="Times New Roman"/>
              </w:rPr>
            </w:pPr>
            <w:r w:rsidRPr="009563D2">
              <w:rPr>
                <w:rFonts w:ascii="Times New Roman" w:eastAsiaTheme="minorHAnsi" w:hAnsi="Times New Roman"/>
              </w:rPr>
              <w:t>0.853</w:t>
            </w:r>
          </w:p>
        </w:tc>
      </w:tr>
    </w:tbl>
    <w:p w:rsidR="00DE5BBE" w:rsidRPr="009563D2" w:rsidRDefault="00DE5BBE" w:rsidP="00DE5BBE">
      <w:pPr>
        <w:spacing w:after="0" w:line="240" w:lineRule="auto"/>
        <w:rPr>
          <w:rFonts w:ascii="Times New Roman" w:hAnsi="Times New Roman" w:cs="Times New Roman"/>
          <w:sz w:val="16"/>
          <w:szCs w:val="16"/>
        </w:rPr>
      </w:pPr>
      <w:r w:rsidRPr="009563D2">
        <w:rPr>
          <w:rFonts w:ascii="Times New Roman" w:hAnsi="Times New Roman" w:cs="Times New Roman"/>
          <w:b/>
          <w:sz w:val="16"/>
          <w:szCs w:val="16"/>
        </w:rPr>
        <w:t xml:space="preserve">Note: </w:t>
      </w:r>
      <w:r w:rsidRPr="009563D2">
        <w:rPr>
          <w:rFonts w:ascii="Times New Roman" w:hAnsi="Times New Roman" w:cs="Times New Roman"/>
          <w:sz w:val="16"/>
          <w:szCs w:val="16"/>
        </w:rPr>
        <w:t xml:space="preserve">MM = measurement model, SEM = Structural Equation model. </w:t>
      </w:r>
    </w:p>
    <w:p w:rsidR="00DE5BBE" w:rsidRPr="009563D2" w:rsidRDefault="00DE5BBE" w:rsidP="00DE5BBE">
      <w:pPr>
        <w:spacing w:after="0" w:line="240" w:lineRule="auto"/>
        <w:rPr>
          <w:rFonts w:ascii="Times New Roman" w:hAnsi="Times New Roman"/>
          <w:sz w:val="16"/>
          <w:szCs w:val="16"/>
        </w:rPr>
      </w:pPr>
      <w:r w:rsidRPr="009563D2">
        <w:rPr>
          <w:rFonts w:ascii="Times New Roman" w:hAnsi="Times New Roman"/>
          <w:sz w:val="16"/>
          <w:szCs w:val="16"/>
        </w:rPr>
        <w:t>SRMR = Standardized Root Mean Square</w:t>
      </w:r>
    </w:p>
    <w:p w:rsidR="00DE5BBE" w:rsidRPr="009563D2" w:rsidRDefault="00DE5BBE" w:rsidP="00DE5BBE">
      <w:pPr>
        <w:spacing w:after="0" w:line="240" w:lineRule="auto"/>
        <w:rPr>
          <w:rFonts w:ascii="Times New Roman" w:hAnsi="Times New Roman"/>
          <w:sz w:val="16"/>
          <w:szCs w:val="16"/>
        </w:rPr>
      </w:pPr>
      <w:r w:rsidRPr="009563D2">
        <w:rPr>
          <w:rFonts w:ascii="Times New Roman" w:hAnsi="Times New Roman"/>
          <w:sz w:val="16"/>
          <w:szCs w:val="16"/>
        </w:rPr>
        <w:t>RMSEA = Root Mean Square Error of Approximation</w:t>
      </w:r>
      <w:r w:rsidRPr="009563D2">
        <w:rPr>
          <w:rFonts w:ascii="Times New Roman" w:hAnsi="Times New Roman"/>
          <w:sz w:val="16"/>
          <w:szCs w:val="16"/>
        </w:rPr>
        <w:tab/>
      </w:r>
    </w:p>
    <w:p w:rsidR="00DE5BBE" w:rsidRPr="009563D2" w:rsidRDefault="00DE5BBE" w:rsidP="00DE5BBE">
      <w:pPr>
        <w:spacing w:after="0" w:line="240" w:lineRule="auto"/>
        <w:rPr>
          <w:rFonts w:ascii="Times New Roman" w:hAnsi="Times New Roman"/>
          <w:sz w:val="16"/>
          <w:szCs w:val="16"/>
        </w:rPr>
      </w:pPr>
      <w:r w:rsidRPr="009563D2">
        <w:rPr>
          <w:rFonts w:ascii="Times New Roman" w:hAnsi="Times New Roman"/>
          <w:sz w:val="16"/>
          <w:szCs w:val="16"/>
        </w:rPr>
        <w:t xml:space="preserve">NFI </w:t>
      </w:r>
      <w:r w:rsidRPr="009563D2">
        <w:rPr>
          <w:rFonts w:ascii="Times New Roman" w:hAnsi="Times New Roman"/>
          <w:sz w:val="16"/>
          <w:szCs w:val="16"/>
        </w:rPr>
        <w:tab/>
        <w:t>=</w:t>
      </w:r>
      <w:r w:rsidRPr="009563D2">
        <w:t xml:space="preserve"> </w:t>
      </w:r>
      <w:r w:rsidRPr="009563D2">
        <w:rPr>
          <w:rFonts w:ascii="Times New Roman" w:hAnsi="Times New Roman"/>
          <w:sz w:val="16"/>
          <w:szCs w:val="16"/>
        </w:rPr>
        <w:t>Normed Fit Index</w:t>
      </w:r>
    </w:p>
    <w:p w:rsidR="00DE5BBE" w:rsidRPr="009563D2" w:rsidRDefault="00DE5BBE" w:rsidP="00DE5BBE">
      <w:pPr>
        <w:spacing w:after="0" w:line="240" w:lineRule="auto"/>
        <w:rPr>
          <w:rFonts w:ascii="Times New Roman" w:hAnsi="Times New Roman"/>
          <w:sz w:val="16"/>
          <w:szCs w:val="16"/>
        </w:rPr>
      </w:pPr>
      <w:r w:rsidRPr="009563D2">
        <w:rPr>
          <w:rFonts w:ascii="Times New Roman" w:hAnsi="Times New Roman"/>
          <w:sz w:val="16"/>
          <w:szCs w:val="16"/>
        </w:rPr>
        <w:t>PNFI</w:t>
      </w:r>
      <w:r w:rsidRPr="009563D2">
        <w:rPr>
          <w:rFonts w:ascii="Times New Roman" w:hAnsi="Times New Roman"/>
          <w:sz w:val="16"/>
          <w:szCs w:val="16"/>
        </w:rPr>
        <w:tab/>
        <w:t>=</w:t>
      </w:r>
      <w:r w:rsidRPr="009563D2">
        <w:t xml:space="preserve"> </w:t>
      </w:r>
      <w:r w:rsidRPr="009563D2">
        <w:rPr>
          <w:rFonts w:ascii="Times New Roman" w:hAnsi="Times New Roman"/>
          <w:sz w:val="16"/>
          <w:szCs w:val="16"/>
        </w:rPr>
        <w:t>Parsimony normed fit index</w:t>
      </w:r>
    </w:p>
    <w:p w:rsidR="00DE5BBE" w:rsidRPr="009563D2" w:rsidRDefault="00DE5BBE" w:rsidP="00DE5BBE">
      <w:pPr>
        <w:spacing w:after="0" w:line="240" w:lineRule="auto"/>
        <w:rPr>
          <w:rFonts w:ascii="Times New Roman" w:hAnsi="Times New Roman"/>
          <w:sz w:val="16"/>
          <w:szCs w:val="16"/>
        </w:rPr>
      </w:pPr>
      <w:r w:rsidRPr="009563D2">
        <w:rPr>
          <w:rFonts w:ascii="Times New Roman" w:hAnsi="Times New Roman"/>
          <w:sz w:val="16"/>
          <w:szCs w:val="16"/>
        </w:rPr>
        <w:t xml:space="preserve">CFI </w:t>
      </w:r>
      <w:r w:rsidRPr="009563D2">
        <w:rPr>
          <w:rFonts w:ascii="Times New Roman" w:hAnsi="Times New Roman"/>
          <w:sz w:val="16"/>
          <w:szCs w:val="16"/>
        </w:rPr>
        <w:tab/>
        <w:t>=</w:t>
      </w:r>
      <w:r w:rsidRPr="009563D2">
        <w:t xml:space="preserve"> </w:t>
      </w:r>
      <w:r w:rsidRPr="009563D2">
        <w:rPr>
          <w:rFonts w:ascii="Times New Roman" w:hAnsi="Times New Roman"/>
          <w:sz w:val="16"/>
          <w:szCs w:val="16"/>
        </w:rPr>
        <w:t xml:space="preserve">Comparative Fit Index </w:t>
      </w:r>
    </w:p>
    <w:p w:rsidR="00DE5BBE" w:rsidRPr="009563D2" w:rsidRDefault="00DE5BBE" w:rsidP="00DE5BBE">
      <w:pPr>
        <w:spacing w:after="0" w:line="240" w:lineRule="auto"/>
        <w:rPr>
          <w:rFonts w:ascii="Times New Roman" w:hAnsi="Times New Roman"/>
          <w:sz w:val="16"/>
          <w:szCs w:val="16"/>
        </w:rPr>
      </w:pPr>
      <w:r w:rsidRPr="009563D2">
        <w:rPr>
          <w:rFonts w:ascii="Times New Roman" w:hAnsi="Times New Roman"/>
          <w:sz w:val="16"/>
          <w:szCs w:val="16"/>
        </w:rPr>
        <w:t xml:space="preserve">IFI </w:t>
      </w:r>
      <w:r w:rsidRPr="009563D2">
        <w:rPr>
          <w:rFonts w:ascii="Times New Roman" w:hAnsi="Times New Roman"/>
          <w:sz w:val="16"/>
          <w:szCs w:val="16"/>
        </w:rPr>
        <w:tab/>
        <w:t>= Incremental Fit Index</w:t>
      </w:r>
    </w:p>
    <w:p w:rsidR="00DE5BBE" w:rsidRPr="009563D2" w:rsidRDefault="00DE5BBE" w:rsidP="00DE5BBE">
      <w:pPr>
        <w:spacing w:after="0" w:line="240" w:lineRule="auto"/>
        <w:rPr>
          <w:rFonts w:ascii="Times New Roman" w:hAnsi="Times New Roman" w:cs="Times New Roman"/>
          <w:sz w:val="16"/>
          <w:szCs w:val="16"/>
        </w:rPr>
      </w:pPr>
      <w:r w:rsidRPr="009563D2">
        <w:rPr>
          <w:rFonts w:ascii="Times New Roman" w:hAnsi="Times New Roman"/>
          <w:sz w:val="16"/>
          <w:szCs w:val="16"/>
        </w:rPr>
        <w:t xml:space="preserve">TLI           = Tucker-Lewis Index </w:t>
      </w:r>
    </w:p>
    <w:p w:rsidR="00DE5BBE" w:rsidRDefault="00DE5BBE" w:rsidP="00DE5BBE">
      <w:pPr>
        <w:spacing w:line="360" w:lineRule="auto"/>
        <w:jc w:val="both"/>
        <w:rPr>
          <w:rFonts w:ascii="Times New Roman" w:hAnsi="Times New Roman" w:cs="Times New Roman"/>
          <w:iCs/>
          <w:sz w:val="24"/>
          <w:szCs w:val="24"/>
        </w:rPr>
      </w:pPr>
    </w:p>
    <w:p w:rsidR="00DE5BBE" w:rsidRPr="00A007A4" w:rsidRDefault="00DE5BBE" w:rsidP="00E22183">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Table 6</w:t>
      </w:r>
      <w:r w:rsidRPr="00A007A4">
        <w:rPr>
          <w:rFonts w:ascii="Times New Roman" w:hAnsi="Times New Roman" w:cs="Times New Roman"/>
          <w:iCs/>
          <w:sz w:val="24"/>
          <w:szCs w:val="24"/>
        </w:rPr>
        <w:t xml:space="preserve"> shows that all the relationship is validated by current data set. The results indicated that </w:t>
      </w:r>
      <w:r>
        <w:rPr>
          <w:rFonts w:ascii="Times New Roman" w:hAnsi="Times New Roman" w:cs="Times New Roman"/>
          <w:iCs/>
          <w:sz w:val="24"/>
          <w:szCs w:val="24"/>
        </w:rPr>
        <w:t>environmental factor</w:t>
      </w:r>
      <w:r w:rsidRPr="00A007A4">
        <w:rPr>
          <w:rFonts w:ascii="Times New Roman" w:hAnsi="Times New Roman" w:cs="Times New Roman"/>
          <w:iCs/>
          <w:sz w:val="24"/>
          <w:szCs w:val="24"/>
        </w:rPr>
        <w:t xml:space="preserve"> has significant relationship with </w:t>
      </w:r>
      <w:r>
        <w:rPr>
          <w:rFonts w:ascii="Times New Roman" w:hAnsi="Times New Roman" w:cs="Times New Roman"/>
          <w:iCs/>
          <w:sz w:val="24"/>
          <w:szCs w:val="24"/>
        </w:rPr>
        <w:t>financial factor (B=0.171</w:t>
      </w:r>
      <w:r w:rsidRPr="00A007A4">
        <w:rPr>
          <w:rFonts w:ascii="Times New Roman" w:hAnsi="Times New Roman" w:cs="Times New Roman"/>
          <w:iCs/>
          <w:sz w:val="24"/>
          <w:szCs w:val="24"/>
        </w:rPr>
        <w:t>, t=</w:t>
      </w:r>
      <w:r>
        <w:rPr>
          <w:rFonts w:ascii="Times New Roman" w:hAnsi="Times New Roman" w:cs="Times New Roman"/>
          <w:iCs/>
          <w:sz w:val="24"/>
          <w:szCs w:val="24"/>
        </w:rPr>
        <w:t xml:space="preserve"> 3.26</w:t>
      </w:r>
      <w:r w:rsidRPr="00A007A4">
        <w:rPr>
          <w:rFonts w:ascii="Times New Roman" w:hAnsi="Times New Roman" w:cs="Times New Roman"/>
          <w:iCs/>
          <w:sz w:val="24"/>
          <w:szCs w:val="24"/>
        </w:rPr>
        <w:t>, p&lt;0.001), thereby validating hypothesis 1</w:t>
      </w:r>
      <w:r>
        <w:rPr>
          <w:rFonts w:ascii="Times New Roman" w:hAnsi="Times New Roman" w:cs="Times New Roman"/>
          <w:iCs/>
          <w:sz w:val="24"/>
          <w:szCs w:val="24"/>
        </w:rPr>
        <w:t>a. Hypothesis 1b</w:t>
      </w:r>
      <w:r w:rsidRPr="00A007A4">
        <w:rPr>
          <w:rFonts w:ascii="Times New Roman" w:hAnsi="Times New Roman" w:cs="Times New Roman"/>
          <w:iCs/>
          <w:sz w:val="24"/>
          <w:szCs w:val="24"/>
        </w:rPr>
        <w:t xml:space="preserve"> was proposed that environmental</w:t>
      </w:r>
      <w:r>
        <w:rPr>
          <w:rFonts w:ascii="Times New Roman" w:hAnsi="Times New Roman" w:cs="Times New Roman"/>
          <w:iCs/>
          <w:sz w:val="24"/>
          <w:szCs w:val="24"/>
        </w:rPr>
        <w:t xml:space="preserve"> factor</w:t>
      </w:r>
      <w:r w:rsidRPr="00A007A4">
        <w:rPr>
          <w:rFonts w:ascii="Times New Roman" w:hAnsi="Times New Roman" w:cs="Times New Roman"/>
          <w:iCs/>
          <w:sz w:val="24"/>
          <w:szCs w:val="24"/>
        </w:rPr>
        <w:t xml:space="preserve"> is positively related with </w:t>
      </w:r>
      <w:r>
        <w:rPr>
          <w:rFonts w:ascii="Times New Roman" w:hAnsi="Times New Roman" w:cs="Times New Roman"/>
          <w:iCs/>
          <w:sz w:val="24"/>
          <w:szCs w:val="24"/>
        </w:rPr>
        <w:t>housing preference</w:t>
      </w:r>
      <w:r w:rsidRPr="00A007A4">
        <w:rPr>
          <w:rFonts w:ascii="Times New Roman" w:hAnsi="Times New Roman" w:cs="Times New Roman"/>
          <w:iCs/>
          <w:sz w:val="24"/>
          <w:szCs w:val="24"/>
        </w:rPr>
        <w:t>, results indi</w:t>
      </w:r>
      <w:r>
        <w:rPr>
          <w:rFonts w:ascii="Times New Roman" w:hAnsi="Times New Roman" w:cs="Times New Roman"/>
          <w:iCs/>
          <w:sz w:val="24"/>
          <w:szCs w:val="24"/>
        </w:rPr>
        <w:t>cating that environmental factor</w:t>
      </w:r>
      <w:r w:rsidRPr="00A007A4">
        <w:rPr>
          <w:rFonts w:ascii="Times New Roman" w:hAnsi="Times New Roman" w:cs="Times New Roman"/>
          <w:iCs/>
          <w:sz w:val="24"/>
          <w:szCs w:val="24"/>
        </w:rPr>
        <w:t xml:space="preserve"> is signifi</w:t>
      </w:r>
      <w:r>
        <w:rPr>
          <w:rFonts w:ascii="Times New Roman" w:hAnsi="Times New Roman" w:cs="Times New Roman"/>
          <w:iCs/>
          <w:sz w:val="24"/>
          <w:szCs w:val="24"/>
        </w:rPr>
        <w:t>cantly associated with housing preference (B=0.151</w:t>
      </w:r>
      <w:r w:rsidRPr="00A007A4">
        <w:rPr>
          <w:rFonts w:ascii="Times New Roman" w:hAnsi="Times New Roman" w:cs="Times New Roman"/>
          <w:iCs/>
          <w:sz w:val="24"/>
          <w:szCs w:val="24"/>
        </w:rPr>
        <w:t>, t</w:t>
      </w:r>
      <w:r>
        <w:rPr>
          <w:rFonts w:ascii="Times New Roman" w:hAnsi="Times New Roman" w:cs="Times New Roman"/>
          <w:iCs/>
          <w:sz w:val="24"/>
          <w:szCs w:val="24"/>
        </w:rPr>
        <w:t xml:space="preserve"> = 3.59</w:t>
      </w:r>
      <w:r w:rsidRPr="00A007A4">
        <w:rPr>
          <w:rFonts w:ascii="Times New Roman" w:hAnsi="Times New Roman" w:cs="Times New Roman"/>
          <w:iCs/>
          <w:sz w:val="24"/>
          <w:szCs w:val="24"/>
        </w:rPr>
        <w:t>, p&lt;0.001), that is according to our assumption, hy</w:t>
      </w:r>
      <w:r>
        <w:rPr>
          <w:rFonts w:ascii="Times New Roman" w:hAnsi="Times New Roman" w:cs="Times New Roman"/>
          <w:iCs/>
          <w:sz w:val="24"/>
          <w:szCs w:val="24"/>
        </w:rPr>
        <w:t xml:space="preserve">pothesis 1c is validated. </w:t>
      </w:r>
      <w:r w:rsidRPr="00A007A4">
        <w:rPr>
          <w:rFonts w:ascii="Times New Roman" w:hAnsi="Times New Roman" w:cs="Times New Roman"/>
          <w:iCs/>
          <w:sz w:val="24"/>
          <w:szCs w:val="24"/>
        </w:rPr>
        <w:t xml:space="preserve">The results </w:t>
      </w:r>
      <w:r>
        <w:rPr>
          <w:rFonts w:ascii="Times New Roman" w:hAnsi="Times New Roman" w:cs="Times New Roman"/>
          <w:iCs/>
          <w:sz w:val="24"/>
          <w:szCs w:val="24"/>
        </w:rPr>
        <w:t xml:space="preserve">also </w:t>
      </w:r>
      <w:r w:rsidRPr="00A007A4">
        <w:rPr>
          <w:rFonts w:ascii="Times New Roman" w:hAnsi="Times New Roman" w:cs="Times New Roman"/>
          <w:iCs/>
          <w:sz w:val="24"/>
          <w:szCs w:val="24"/>
        </w:rPr>
        <w:t xml:space="preserve">indicated that </w:t>
      </w:r>
      <w:r w:rsidRPr="004407D3">
        <w:rPr>
          <w:rFonts w:ascii="Times New Roman" w:hAnsi="Times New Roman" w:cs="Times New Roman"/>
          <w:iCs/>
          <w:sz w:val="24"/>
          <w:szCs w:val="24"/>
        </w:rPr>
        <w:t>Property physical factor has</w:t>
      </w:r>
      <w:r w:rsidRPr="00A007A4">
        <w:rPr>
          <w:rFonts w:ascii="Times New Roman" w:hAnsi="Times New Roman" w:cs="Times New Roman"/>
          <w:iCs/>
          <w:sz w:val="24"/>
          <w:szCs w:val="24"/>
        </w:rPr>
        <w:t xml:space="preserve"> significant relationship with </w:t>
      </w:r>
      <w:r>
        <w:rPr>
          <w:rFonts w:ascii="Times New Roman" w:hAnsi="Times New Roman" w:cs="Times New Roman"/>
          <w:iCs/>
          <w:sz w:val="24"/>
          <w:szCs w:val="24"/>
        </w:rPr>
        <w:t>financial factor (B=0.082, t= 2.18, p&lt;0.0</w:t>
      </w:r>
      <w:r w:rsidRPr="00A007A4">
        <w:rPr>
          <w:rFonts w:ascii="Times New Roman" w:hAnsi="Times New Roman" w:cs="Times New Roman"/>
          <w:iCs/>
          <w:sz w:val="24"/>
          <w:szCs w:val="24"/>
        </w:rPr>
        <w:t>1),</w:t>
      </w:r>
      <w:r>
        <w:rPr>
          <w:rFonts w:ascii="Times New Roman" w:hAnsi="Times New Roman" w:cs="Times New Roman"/>
          <w:iCs/>
          <w:sz w:val="24"/>
          <w:szCs w:val="24"/>
        </w:rPr>
        <w:t xml:space="preserve"> thereby validating hypothesis 1c. Hypothesis 1d</w:t>
      </w:r>
      <w:r w:rsidRPr="00A007A4">
        <w:rPr>
          <w:rFonts w:ascii="Times New Roman" w:hAnsi="Times New Roman" w:cs="Times New Roman"/>
          <w:iCs/>
          <w:sz w:val="24"/>
          <w:szCs w:val="24"/>
        </w:rPr>
        <w:t xml:space="preserve"> was proposed that </w:t>
      </w:r>
      <w:r>
        <w:rPr>
          <w:rFonts w:ascii="Times New Roman" w:hAnsi="Times New Roman" w:cs="Times New Roman"/>
          <w:iCs/>
          <w:sz w:val="24"/>
          <w:szCs w:val="24"/>
        </w:rPr>
        <w:t xml:space="preserve">Property physical factor </w:t>
      </w:r>
      <w:r w:rsidRPr="00A007A4">
        <w:rPr>
          <w:rFonts w:ascii="Times New Roman" w:hAnsi="Times New Roman" w:cs="Times New Roman"/>
          <w:iCs/>
          <w:sz w:val="24"/>
          <w:szCs w:val="24"/>
        </w:rPr>
        <w:t xml:space="preserve">is positively related with </w:t>
      </w:r>
      <w:r>
        <w:rPr>
          <w:rFonts w:ascii="Times New Roman" w:hAnsi="Times New Roman" w:cs="Times New Roman"/>
          <w:iCs/>
          <w:sz w:val="24"/>
          <w:szCs w:val="24"/>
        </w:rPr>
        <w:t>housing preference</w:t>
      </w:r>
      <w:r w:rsidRPr="00A007A4">
        <w:rPr>
          <w:rFonts w:ascii="Times New Roman" w:hAnsi="Times New Roman" w:cs="Times New Roman"/>
          <w:iCs/>
          <w:sz w:val="24"/>
          <w:szCs w:val="24"/>
        </w:rPr>
        <w:t>, results indi</w:t>
      </w:r>
      <w:r>
        <w:rPr>
          <w:rFonts w:ascii="Times New Roman" w:hAnsi="Times New Roman" w:cs="Times New Roman"/>
          <w:iCs/>
          <w:sz w:val="24"/>
          <w:szCs w:val="24"/>
        </w:rPr>
        <w:t xml:space="preserve">cating that </w:t>
      </w:r>
      <w:r w:rsidRPr="004407D3">
        <w:rPr>
          <w:rFonts w:ascii="Times New Roman" w:hAnsi="Times New Roman" w:cs="Times New Roman"/>
          <w:iCs/>
          <w:sz w:val="24"/>
          <w:szCs w:val="24"/>
        </w:rPr>
        <w:t xml:space="preserve">Property physical factor  </w:t>
      </w:r>
      <w:r w:rsidRPr="00A007A4">
        <w:rPr>
          <w:rFonts w:ascii="Times New Roman" w:hAnsi="Times New Roman" w:cs="Times New Roman"/>
          <w:iCs/>
          <w:sz w:val="24"/>
          <w:szCs w:val="24"/>
        </w:rPr>
        <w:t>is signifi</w:t>
      </w:r>
      <w:r>
        <w:rPr>
          <w:rFonts w:ascii="Times New Roman" w:hAnsi="Times New Roman" w:cs="Times New Roman"/>
          <w:iCs/>
          <w:sz w:val="24"/>
          <w:szCs w:val="24"/>
        </w:rPr>
        <w:t>cantly associated with housing preference (B=0.152, t = 1.98, p&lt;0.</w:t>
      </w:r>
      <w:r w:rsidRPr="00A007A4">
        <w:rPr>
          <w:rFonts w:ascii="Times New Roman" w:hAnsi="Times New Roman" w:cs="Times New Roman"/>
          <w:iCs/>
          <w:sz w:val="24"/>
          <w:szCs w:val="24"/>
        </w:rPr>
        <w:t>01), that is according to our assumption, hy</w:t>
      </w:r>
      <w:r>
        <w:rPr>
          <w:rFonts w:ascii="Times New Roman" w:hAnsi="Times New Roman" w:cs="Times New Roman"/>
          <w:iCs/>
          <w:sz w:val="24"/>
          <w:szCs w:val="24"/>
        </w:rPr>
        <w:t>pothesis 1d is validated.</w:t>
      </w:r>
      <w:r w:rsidRPr="00752132">
        <w:rPr>
          <w:rFonts w:ascii="Times New Roman" w:hAnsi="Times New Roman" w:cs="Times New Roman"/>
          <w:iCs/>
          <w:sz w:val="24"/>
          <w:szCs w:val="24"/>
        </w:rPr>
        <w:t xml:space="preserve"> </w:t>
      </w:r>
      <w:r>
        <w:rPr>
          <w:rFonts w:ascii="Times New Roman" w:hAnsi="Times New Roman" w:cs="Times New Roman"/>
          <w:iCs/>
          <w:sz w:val="24"/>
          <w:szCs w:val="24"/>
        </w:rPr>
        <w:t>In addition, t</w:t>
      </w:r>
      <w:r w:rsidRPr="00A007A4">
        <w:rPr>
          <w:rFonts w:ascii="Times New Roman" w:hAnsi="Times New Roman" w:cs="Times New Roman"/>
          <w:iCs/>
          <w:sz w:val="24"/>
          <w:szCs w:val="24"/>
        </w:rPr>
        <w:t xml:space="preserve">he results indicated that </w:t>
      </w:r>
      <w:r>
        <w:rPr>
          <w:rFonts w:ascii="Times New Roman" w:hAnsi="Times New Roman" w:cs="Times New Roman"/>
          <w:iCs/>
          <w:sz w:val="24"/>
          <w:szCs w:val="24"/>
        </w:rPr>
        <w:t>d</w:t>
      </w:r>
      <w:r w:rsidRPr="004407D3">
        <w:rPr>
          <w:rFonts w:ascii="Times New Roman" w:hAnsi="Times New Roman" w:cs="Times New Roman"/>
          <w:iCs/>
          <w:sz w:val="24"/>
          <w:szCs w:val="24"/>
        </w:rPr>
        <w:t xml:space="preserve">istance factor </w:t>
      </w:r>
      <w:r w:rsidRPr="00A007A4">
        <w:rPr>
          <w:rFonts w:ascii="Times New Roman" w:hAnsi="Times New Roman" w:cs="Times New Roman"/>
          <w:iCs/>
          <w:sz w:val="24"/>
          <w:szCs w:val="24"/>
        </w:rPr>
        <w:t xml:space="preserve">has significant relationship with </w:t>
      </w:r>
      <w:r>
        <w:rPr>
          <w:rFonts w:ascii="Times New Roman" w:hAnsi="Times New Roman" w:cs="Times New Roman"/>
          <w:iCs/>
          <w:sz w:val="24"/>
          <w:szCs w:val="24"/>
        </w:rPr>
        <w:t>financial factor (B=0.290, t= 5.06, p&lt;0.05</w:t>
      </w:r>
      <w:r w:rsidRPr="00A007A4">
        <w:rPr>
          <w:rFonts w:ascii="Times New Roman" w:hAnsi="Times New Roman" w:cs="Times New Roman"/>
          <w:iCs/>
          <w:sz w:val="24"/>
          <w:szCs w:val="24"/>
        </w:rPr>
        <w:t>),</w:t>
      </w:r>
      <w:r>
        <w:rPr>
          <w:rFonts w:ascii="Times New Roman" w:hAnsi="Times New Roman" w:cs="Times New Roman"/>
          <w:iCs/>
          <w:sz w:val="24"/>
          <w:szCs w:val="24"/>
        </w:rPr>
        <w:t xml:space="preserve"> thereby validating hypothesis 1e. Hypothesis 1f</w:t>
      </w:r>
      <w:r w:rsidRPr="00A007A4">
        <w:rPr>
          <w:rFonts w:ascii="Times New Roman" w:hAnsi="Times New Roman" w:cs="Times New Roman"/>
          <w:iCs/>
          <w:sz w:val="24"/>
          <w:szCs w:val="24"/>
        </w:rPr>
        <w:t xml:space="preserve"> was proposed that </w:t>
      </w:r>
      <w:r>
        <w:rPr>
          <w:rFonts w:ascii="Times New Roman" w:hAnsi="Times New Roman" w:cs="Times New Roman"/>
          <w:iCs/>
          <w:sz w:val="24"/>
          <w:szCs w:val="24"/>
        </w:rPr>
        <w:t>d</w:t>
      </w:r>
      <w:r w:rsidRPr="004407D3">
        <w:rPr>
          <w:rFonts w:ascii="Times New Roman" w:hAnsi="Times New Roman" w:cs="Times New Roman"/>
          <w:iCs/>
          <w:sz w:val="24"/>
          <w:szCs w:val="24"/>
        </w:rPr>
        <w:t xml:space="preserve">istance factor </w:t>
      </w:r>
      <w:r w:rsidRPr="00A007A4">
        <w:rPr>
          <w:rFonts w:ascii="Times New Roman" w:hAnsi="Times New Roman" w:cs="Times New Roman"/>
          <w:iCs/>
          <w:sz w:val="24"/>
          <w:szCs w:val="24"/>
        </w:rPr>
        <w:t xml:space="preserve">is positively related with </w:t>
      </w:r>
      <w:r>
        <w:rPr>
          <w:rFonts w:ascii="Times New Roman" w:hAnsi="Times New Roman" w:cs="Times New Roman"/>
          <w:iCs/>
          <w:sz w:val="24"/>
          <w:szCs w:val="24"/>
        </w:rPr>
        <w:t>housing preference</w:t>
      </w:r>
      <w:r w:rsidRPr="00A007A4">
        <w:rPr>
          <w:rFonts w:ascii="Times New Roman" w:hAnsi="Times New Roman" w:cs="Times New Roman"/>
          <w:iCs/>
          <w:sz w:val="24"/>
          <w:szCs w:val="24"/>
        </w:rPr>
        <w:t>, results indi</w:t>
      </w:r>
      <w:r>
        <w:rPr>
          <w:rFonts w:ascii="Times New Roman" w:hAnsi="Times New Roman" w:cs="Times New Roman"/>
          <w:iCs/>
          <w:sz w:val="24"/>
          <w:szCs w:val="24"/>
        </w:rPr>
        <w:t>cating that d</w:t>
      </w:r>
      <w:r w:rsidRPr="004407D3">
        <w:rPr>
          <w:rFonts w:ascii="Times New Roman" w:hAnsi="Times New Roman" w:cs="Times New Roman"/>
          <w:iCs/>
          <w:sz w:val="24"/>
          <w:szCs w:val="24"/>
        </w:rPr>
        <w:t xml:space="preserve">istance factor </w:t>
      </w:r>
      <w:r w:rsidRPr="00A007A4">
        <w:rPr>
          <w:rFonts w:ascii="Times New Roman" w:hAnsi="Times New Roman" w:cs="Times New Roman"/>
          <w:iCs/>
          <w:sz w:val="24"/>
          <w:szCs w:val="24"/>
        </w:rPr>
        <w:t>is signifi</w:t>
      </w:r>
      <w:r>
        <w:rPr>
          <w:rFonts w:ascii="Times New Roman" w:hAnsi="Times New Roman" w:cs="Times New Roman"/>
          <w:iCs/>
          <w:sz w:val="24"/>
          <w:szCs w:val="24"/>
        </w:rPr>
        <w:t>cantly associated with housing preference (B=0.131, t = 2.05, p&lt;0.</w:t>
      </w:r>
      <w:r w:rsidRPr="00A007A4">
        <w:rPr>
          <w:rFonts w:ascii="Times New Roman" w:hAnsi="Times New Roman" w:cs="Times New Roman"/>
          <w:iCs/>
          <w:sz w:val="24"/>
          <w:szCs w:val="24"/>
        </w:rPr>
        <w:t>01), that is according to our assumption, hy</w:t>
      </w:r>
      <w:r>
        <w:rPr>
          <w:rFonts w:ascii="Times New Roman" w:hAnsi="Times New Roman" w:cs="Times New Roman"/>
          <w:iCs/>
          <w:sz w:val="24"/>
          <w:szCs w:val="24"/>
        </w:rPr>
        <w:t xml:space="preserve">pothesis 1f is validated. </w:t>
      </w:r>
      <w:r w:rsidRPr="00A007A4">
        <w:rPr>
          <w:rFonts w:ascii="Times New Roman" w:hAnsi="Times New Roman" w:cs="Times New Roman"/>
          <w:iCs/>
          <w:sz w:val="24"/>
          <w:szCs w:val="24"/>
        </w:rPr>
        <w:t xml:space="preserve">The results </w:t>
      </w:r>
      <w:r>
        <w:rPr>
          <w:rFonts w:ascii="Times New Roman" w:hAnsi="Times New Roman" w:cs="Times New Roman"/>
          <w:iCs/>
          <w:sz w:val="24"/>
          <w:szCs w:val="24"/>
        </w:rPr>
        <w:t xml:space="preserve">of Table 6 also </w:t>
      </w:r>
      <w:r w:rsidRPr="00A007A4">
        <w:rPr>
          <w:rFonts w:ascii="Times New Roman" w:hAnsi="Times New Roman" w:cs="Times New Roman"/>
          <w:iCs/>
          <w:sz w:val="24"/>
          <w:szCs w:val="24"/>
        </w:rPr>
        <w:t xml:space="preserve">indicated that </w:t>
      </w:r>
      <w:r w:rsidRPr="004407D3">
        <w:rPr>
          <w:rFonts w:ascii="Times New Roman" w:hAnsi="Times New Roman" w:cs="Times New Roman"/>
          <w:iCs/>
          <w:sz w:val="24"/>
          <w:szCs w:val="24"/>
        </w:rPr>
        <w:t xml:space="preserve">Facilities </w:t>
      </w:r>
      <w:r>
        <w:rPr>
          <w:rFonts w:ascii="Times New Roman" w:hAnsi="Times New Roman" w:cs="Times New Roman"/>
          <w:iCs/>
          <w:sz w:val="24"/>
          <w:szCs w:val="24"/>
        </w:rPr>
        <w:t>factor</w:t>
      </w:r>
      <w:r w:rsidRPr="00A007A4">
        <w:rPr>
          <w:rFonts w:ascii="Times New Roman" w:hAnsi="Times New Roman" w:cs="Times New Roman"/>
          <w:iCs/>
          <w:sz w:val="24"/>
          <w:szCs w:val="24"/>
        </w:rPr>
        <w:t xml:space="preserve"> has significant relationship with </w:t>
      </w:r>
      <w:r>
        <w:rPr>
          <w:rFonts w:ascii="Times New Roman" w:hAnsi="Times New Roman" w:cs="Times New Roman"/>
          <w:iCs/>
          <w:sz w:val="24"/>
          <w:szCs w:val="24"/>
        </w:rPr>
        <w:t>financial factor (B=0.081, t= 1.99, p&lt;0.05</w:t>
      </w:r>
      <w:r w:rsidRPr="00A007A4">
        <w:rPr>
          <w:rFonts w:ascii="Times New Roman" w:hAnsi="Times New Roman" w:cs="Times New Roman"/>
          <w:iCs/>
          <w:sz w:val="24"/>
          <w:szCs w:val="24"/>
        </w:rPr>
        <w:t>),</w:t>
      </w:r>
      <w:r>
        <w:rPr>
          <w:rFonts w:ascii="Times New Roman" w:hAnsi="Times New Roman" w:cs="Times New Roman"/>
          <w:iCs/>
          <w:sz w:val="24"/>
          <w:szCs w:val="24"/>
        </w:rPr>
        <w:t xml:space="preserve"> thereby validating hypothesis 1g. Hypothesis 1g</w:t>
      </w:r>
      <w:r w:rsidRPr="00A007A4">
        <w:rPr>
          <w:rFonts w:ascii="Times New Roman" w:hAnsi="Times New Roman" w:cs="Times New Roman"/>
          <w:iCs/>
          <w:sz w:val="24"/>
          <w:szCs w:val="24"/>
        </w:rPr>
        <w:t xml:space="preserve"> was proposed that </w:t>
      </w:r>
      <w:r w:rsidRPr="004407D3">
        <w:rPr>
          <w:rFonts w:ascii="Times New Roman" w:hAnsi="Times New Roman" w:cs="Times New Roman"/>
          <w:iCs/>
          <w:sz w:val="24"/>
          <w:szCs w:val="24"/>
        </w:rPr>
        <w:t xml:space="preserve">Facilities </w:t>
      </w:r>
      <w:r w:rsidRPr="00A007A4">
        <w:rPr>
          <w:rFonts w:ascii="Times New Roman" w:hAnsi="Times New Roman" w:cs="Times New Roman"/>
          <w:iCs/>
          <w:sz w:val="24"/>
          <w:szCs w:val="24"/>
        </w:rPr>
        <w:t xml:space="preserve">is positively related with </w:t>
      </w:r>
      <w:r>
        <w:rPr>
          <w:rFonts w:ascii="Times New Roman" w:hAnsi="Times New Roman" w:cs="Times New Roman"/>
          <w:iCs/>
          <w:sz w:val="24"/>
          <w:szCs w:val="24"/>
        </w:rPr>
        <w:t>housing preference</w:t>
      </w:r>
      <w:r w:rsidRPr="00A007A4">
        <w:rPr>
          <w:rFonts w:ascii="Times New Roman" w:hAnsi="Times New Roman" w:cs="Times New Roman"/>
          <w:iCs/>
          <w:sz w:val="24"/>
          <w:szCs w:val="24"/>
        </w:rPr>
        <w:t>, results indi</w:t>
      </w:r>
      <w:r>
        <w:rPr>
          <w:rFonts w:ascii="Times New Roman" w:hAnsi="Times New Roman" w:cs="Times New Roman"/>
          <w:iCs/>
          <w:sz w:val="24"/>
          <w:szCs w:val="24"/>
        </w:rPr>
        <w:t xml:space="preserve">cating that </w:t>
      </w:r>
      <w:r w:rsidRPr="004407D3">
        <w:rPr>
          <w:rFonts w:ascii="Times New Roman" w:hAnsi="Times New Roman" w:cs="Times New Roman"/>
          <w:iCs/>
          <w:sz w:val="24"/>
          <w:szCs w:val="24"/>
        </w:rPr>
        <w:t xml:space="preserve">Facilities </w:t>
      </w:r>
      <w:r>
        <w:rPr>
          <w:rFonts w:ascii="Times New Roman" w:hAnsi="Times New Roman" w:cs="Times New Roman"/>
          <w:iCs/>
          <w:sz w:val="24"/>
          <w:szCs w:val="24"/>
        </w:rPr>
        <w:t xml:space="preserve">factor </w:t>
      </w:r>
      <w:r w:rsidRPr="00A007A4">
        <w:rPr>
          <w:rFonts w:ascii="Times New Roman" w:hAnsi="Times New Roman" w:cs="Times New Roman"/>
          <w:iCs/>
          <w:sz w:val="24"/>
          <w:szCs w:val="24"/>
        </w:rPr>
        <w:t>is signifi</w:t>
      </w:r>
      <w:r>
        <w:rPr>
          <w:rFonts w:ascii="Times New Roman" w:hAnsi="Times New Roman" w:cs="Times New Roman"/>
          <w:iCs/>
          <w:sz w:val="24"/>
          <w:szCs w:val="24"/>
        </w:rPr>
        <w:t>cantly associated with housing preference (B=0.180, t = 2.74</w:t>
      </w:r>
      <w:r w:rsidRPr="00A007A4">
        <w:rPr>
          <w:rFonts w:ascii="Times New Roman" w:hAnsi="Times New Roman" w:cs="Times New Roman"/>
          <w:iCs/>
          <w:sz w:val="24"/>
          <w:szCs w:val="24"/>
        </w:rPr>
        <w:t>, p&lt;0.001), that is according to our assumption, hy</w:t>
      </w:r>
      <w:r>
        <w:rPr>
          <w:rFonts w:ascii="Times New Roman" w:hAnsi="Times New Roman" w:cs="Times New Roman"/>
          <w:iCs/>
          <w:sz w:val="24"/>
          <w:szCs w:val="24"/>
        </w:rPr>
        <w:t xml:space="preserve">pothesis 1h is validated. Finally, financial factor is also positively related to housing preference (B=0.191, t= 255, p&lt;0.001), H2 is also supported.  </w:t>
      </w:r>
    </w:p>
    <w:p w:rsidR="00DE5BBE" w:rsidRPr="00A3719F" w:rsidRDefault="00DE5BBE" w:rsidP="00DE5BBE">
      <w:pPr>
        <w:spacing w:line="240" w:lineRule="auto"/>
        <w:jc w:val="center"/>
        <w:rPr>
          <w:rFonts w:ascii="Times New Roman" w:eastAsia="PMingLiU" w:hAnsi="Times New Roman" w:cs="Arial"/>
          <w:b/>
          <w:iCs/>
          <w:color w:val="000000"/>
          <w:sz w:val="24"/>
          <w:szCs w:val="24"/>
          <w:lang w:val="en-GB"/>
        </w:rPr>
      </w:pPr>
      <w:r w:rsidRPr="00A3719F">
        <w:rPr>
          <w:rFonts w:ascii="Times New Roman" w:eastAsia="PMingLiU" w:hAnsi="Times New Roman" w:cs="Arial"/>
          <w:b/>
          <w:iCs/>
          <w:color w:val="000000"/>
          <w:sz w:val="24"/>
          <w:szCs w:val="24"/>
          <w:lang w:val="en-GB"/>
        </w:rPr>
        <w:lastRenderedPageBreak/>
        <w:t>Table 6. Hypothesis testing</w:t>
      </w:r>
    </w:p>
    <w:tbl>
      <w:tblPr>
        <w:tblStyle w:val="TableGrid3"/>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643"/>
        <w:gridCol w:w="1330"/>
        <w:gridCol w:w="940"/>
        <w:gridCol w:w="2017"/>
      </w:tblGrid>
      <w:tr w:rsidR="00DE5BBE" w:rsidRPr="00A3719F" w:rsidTr="00935264">
        <w:trPr>
          <w:jc w:val="center"/>
        </w:trPr>
        <w:tc>
          <w:tcPr>
            <w:tcW w:w="993" w:type="dxa"/>
            <w:tcBorders>
              <w:top w:val="single" w:sz="12" w:space="0" w:color="auto"/>
              <w:bottom w:val="single" w:sz="12" w:space="0" w:color="auto"/>
            </w:tcBorders>
          </w:tcPr>
          <w:p w:rsidR="00DE5BBE" w:rsidRPr="00A3719F" w:rsidRDefault="00DE5BBE" w:rsidP="00935264">
            <w:pPr>
              <w:spacing w:after="160"/>
              <w:rPr>
                <w:rFonts w:eastAsia="PMingLiU"/>
                <w:b/>
                <w:iCs/>
                <w:color w:val="000000"/>
                <w:lang w:val="en-GB"/>
              </w:rPr>
            </w:pPr>
            <w:r w:rsidRPr="00A3719F">
              <w:rPr>
                <w:rFonts w:eastAsia="PMingLiU"/>
                <w:b/>
                <w:iCs/>
                <w:color w:val="000000"/>
                <w:lang w:val="en-GB"/>
              </w:rPr>
              <w:t>Hypothesis</w:t>
            </w:r>
          </w:p>
        </w:tc>
        <w:tc>
          <w:tcPr>
            <w:tcW w:w="4643" w:type="dxa"/>
            <w:tcBorders>
              <w:top w:val="single" w:sz="12" w:space="0" w:color="auto"/>
              <w:bottom w:val="single" w:sz="12" w:space="0" w:color="auto"/>
            </w:tcBorders>
          </w:tcPr>
          <w:p w:rsidR="00DE5BBE" w:rsidRPr="00A3719F" w:rsidRDefault="00DE5BBE" w:rsidP="00935264">
            <w:pPr>
              <w:spacing w:after="160"/>
              <w:rPr>
                <w:rFonts w:eastAsia="PMingLiU"/>
                <w:b/>
                <w:iCs/>
                <w:color w:val="000000"/>
                <w:lang w:val="en-GB"/>
              </w:rPr>
            </w:pPr>
            <w:r w:rsidRPr="00A3719F">
              <w:rPr>
                <w:rFonts w:eastAsia="PMingLiU"/>
                <w:b/>
                <w:iCs/>
                <w:color w:val="000000"/>
                <w:lang w:val="en-GB"/>
              </w:rPr>
              <w:t>Path</w:t>
            </w:r>
          </w:p>
        </w:tc>
        <w:tc>
          <w:tcPr>
            <w:tcW w:w="1330" w:type="dxa"/>
            <w:tcBorders>
              <w:top w:val="single" w:sz="12" w:space="0" w:color="auto"/>
              <w:bottom w:val="single" w:sz="12" w:space="0" w:color="auto"/>
            </w:tcBorders>
          </w:tcPr>
          <w:p w:rsidR="00DE5BBE" w:rsidRPr="00A3719F" w:rsidRDefault="00DE5BBE" w:rsidP="00935264">
            <w:pPr>
              <w:spacing w:after="160"/>
              <w:rPr>
                <w:rFonts w:eastAsia="PMingLiU"/>
                <w:b/>
                <w:iCs/>
                <w:color w:val="000000"/>
                <w:lang w:val="en-GB"/>
              </w:rPr>
            </w:pPr>
            <w:r w:rsidRPr="00A3719F">
              <w:rPr>
                <w:rFonts w:eastAsia="PMingLiU"/>
                <w:b/>
                <w:iCs/>
                <w:color w:val="000000"/>
                <w:lang w:val="en-GB"/>
              </w:rPr>
              <w:t>Standard Coefficient</w:t>
            </w:r>
          </w:p>
        </w:tc>
        <w:tc>
          <w:tcPr>
            <w:tcW w:w="940" w:type="dxa"/>
            <w:tcBorders>
              <w:top w:val="single" w:sz="12" w:space="0" w:color="auto"/>
              <w:bottom w:val="single" w:sz="12" w:space="0" w:color="auto"/>
            </w:tcBorders>
          </w:tcPr>
          <w:p w:rsidR="00DE5BBE" w:rsidRPr="00A3719F" w:rsidRDefault="00DE5BBE" w:rsidP="00935264">
            <w:pPr>
              <w:spacing w:after="160"/>
              <w:rPr>
                <w:rFonts w:eastAsia="PMingLiU"/>
                <w:b/>
                <w:iCs/>
                <w:color w:val="000000"/>
                <w:lang w:val="en-GB"/>
              </w:rPr>
            </w:pPr>
            <w:r w:rsidRPr="00A3719F">
              <w:rPr>
                <w:rFonts w:eastAsia="PMingLiU"/>
                <w:b/>
                <w:iCs/>
                <w:color w:val="000000"/>
                <w:lang w:val="en-GB"/>
              </w:rPr>
              <w:t>t-value</w:t>
            </w:r>
          </w:p>
        </w:tc>
        <w:tc>
          <w:tcPr>
            <w:tcW w:w="2017" w:type="dxa"/>
            <w:tcBorders>
              <w:top w:val="single" w:sz="12" w:space="0" w:color="auto"/>
              <w:bottom w:val="single" w:sz="12" w:space="0" w:color="auto"/>
            </w:tcBorders>
          </w:tcPr>
          <w:p w:rsidR="00DE5BBE" w:rsidRPr="00A3719F" w:rsidRDefault="00DE5BBE" w:rsidP="00935264">
            <w:pPr>
              <w:spacing w:after="160"/>
              <w:rPr>
                <w:rFonts w:eastAsia="PMingLiU"/>
                <w:b/>
                <w:iCs/>
                <w:color w:val="000000"/>
                <w:lang w:val="en-GB"/>
              </w:rPr>
            </w:pPr>
            <w:r w:rsidRPr="00A3719F">
              <w:rPr>
                <w:rFonts w:eastAsia="PMingLiU"/>
                <w:b/>
                <w:iCs/>
                <w:color w:val="000000"/>
                <w:lang w:val="en-GB"/>
              </w:rPr>
              <w:t>Result</w:t>
            </w:r>
          </w:p>
        </w:tc>
      </w:tr>
      <w:tr w:rsidR="00DE5BBE" w:rsidRPr="00A3719F" w:rsidTr="00935264">
        <w:trPr>
          <w:jc w:val="center"/>
        </w:trPr>
        <w:tc>
          <w:tcPr>
            <w:tcW w:w="993" w:type="dxa"/>
            <w:tcBorders>
              <w:top w:val="single" w:sz="12" w:space="0" w:color="auto"/>
            </w:tcBorders>
          </w:tcPr>
          <w:p w:rsidR="00DE5BBE" w:rsidRPr="00A3719F" w:rsidRDefault="00DE5BBE" w:rsidP="00935264">
            <w:pPr>
              <w:spacing w:after="160"/>
              <w:rPr>
                <w:rFonts w:eastAsia="PMingLiU"/>
                <w:b/>
                <w:iCs/>
                <w:color w:val="000000"/>
                <w:lang w:val="en-GB"/>
              </w:rPr>
            </w:pPr>
            <w:r w:rsidRPr="00A3719F">
              <w:rPr>
                <w:rFonts w:eastAsia="PMingLiU"/>
                <w:b/>
                <w:iCs/>
                <w:color w:val="000000"/>
                <w:lang w:val="en-GB"/>
              </w:rPr>
              <w:t>H1a</w:t>
            </w:r>
          </w:p>
        </w:tc>
        <w:tc>
          <w:tcPr>
            <w:tcW w:w="4643" w:type="dxa"/>
            <w:tcBorders>
              <w:top w:val="single" w:sz="12" w:space="0" w:color="auto"/>
            </w:tcBorders>
          </w:tcPr>
          <w:p w:rsidR="00DE5BBE" w:rsidRPr="00A3719F" w:rsidRDefault="00DE5BBE" w:rsidP="00935264">
            <w:r w:rsidRPr="00A3719F">
              <w:t>Environmental factor to Financial Factor</w:t>
            </w:r>
          </w:p>
        </w:tc>
        <w:tc>
          <w:tcPr>
            <w:tcW w:w="1330" w:type="dxa"/>
            <w:tcBorders>
              <w:top w:val="single" w:sz="12" w:space="0" w:color="auto"/>
            </w:tcBorders>
          </w:tcPr>
          <w:p w:rsidR="00DE5BBE" w:rsidRPr="00A3719F" w:rsidRDefault="00DE5BBE" w:rsidP="00935264">
            <w:r w:rsidRPr="00A3719F">
              <w:t>0.171</w:t>
            </w:r>
          </w:p>
        </w:tc>
        <w:tc>
          <w:tcPr>
            <w:tcW w:w="940" w:type="dxa"/>
            <w:tcBorders>
              <w:top w:val="single" w:sz="12" w:space="0" w:color="auto"/>
            </w:tcBorders>
          </w:tcPr>
          <w:p w:rsidR="00DE5BBE" w:rsidRPr="00A3719F" w:rsidRDefault="00DE5BBE" w:rsidP="00935264">
            <w:r w:rsidRPr="00A3719F">
              <w:t>3.26**</w:t>
            </w:r>
          </w:p>
        </w:tc>
        <w:tc>
          <w:tcPr>
            <w:tcW w:w="2017" w:type="dxa"/>
            <w:tcBorders>
              <w:top w:val="single" w:sz="12" w:space="0" w:color="auto"/>
            </w:tcBorders>
          </w:tcPr>
          <w:p w:rsidR="00DE5BBE" w:rsidRPr="00A3719F" w:rsidRDefault="00DE5BBE" w:rsidP="00935264">
            <w:r w:rsidRPr="00A3719F">
              <w:t>Supported</w:t>
            </w:r>
          </w:p>
        </w:tc>
      </w:tr>
      <w:tr w:rsidR="00DE5BBE" w:rsidRPr="00A3719F" w:rsidTr="00935264">
        <w:trPr>
          <w:jc w:val="center"/>
        </w:trPr>
        <w:tc>
          <w:tcPr>
            <w:tcW w:w="993" w:type="dxa"/>
          </w:tcPr>
          <w:p w:rsidR="00DE5BBE" w:rsidRPr="00A3719F" w:rsidRDefault="00DE5BBE" w:rsidP="00935264">
            <w:pPr>
              <w:spacing w:after="160"/>
              <w:rPr>
                <w:rFonts w:eastAsia="PMingLiU"/>
                <w:b/>
                <w:iCs/>
                <w:color w:val="000000"/>
                <w:lang w:val="en-GB"/>
              </w:rPr>
            </w:pPr>
            <w:r w:rsidRPr="00A3719F">
              <w:rPr>
                <w:rFonts w:eastAsia="PMingLiU"/>
                <w:b/>
                <w:iCs/>
                <w:color w:val="000000"/>
                <w:lang w:val="en-GB"/>
              </w:rPr>
              <w:t>H1b</w:t>
            </w:r>
          </w:p>
        </w:tc>
        <w:tc>
          <w:tcPr>
            <w:tcW w:w="4643"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Environmental factor to Housing preference</w:t>
            </w:r>
          </w:p>
        </w:tc>
        <w:tc>
          <w:tcPr>
            <w:tcW w:w="1330"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0.151</w:t>
            </w:r>
          </w:p>
        </w:tc>
        <w:tc>
          <w:tcPr>
            <w:tcW w:w="940"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3.59**</w:t>
            </w:r>
          </w:p>
        </w:tc>
        <w:tc>
          <w:tcPr>
            <w:tcW w:w="2017" w:type="dxa"/>
          </w:tcPr>
          <w:p w:rsidR="00DE5BBE" w:rsidRPr="00A3719F" w:rsidRDefault="00DE5BBE" w:rsidP="00935264">
            <w:pPr>
              <w:spacing w:after="160"/>
              <w:rPr>
                <w:rFonts w:eastAsia="PMingLiU"/>
                <w:iCs/>
                <w:color w:val="000000"/>
                <w:lang w:val="en-GB"/>
              </w:rPr>
            </w:pPr>
            <w:r w:rsidRPr="00A3719F">
              <w:rPr>
                <w:rFonts w:eastAsia="PMingLiU"/>
                <w:color w:val="000000"/>
                <w:lang w:val="en-GB"/>
              </w:rPr>
              <w:t>Supported</w:t>
            </w:r>
          </w:p>
        </w:tc>
      </w:tr>
      <w:tr w:rsidR="00DE5BBE" w:rsidRPr="00A3719F" w:rsidTr="00935264">
        <w:trPr>
          <w:jc w:val="center"/>
        </w:trPr>
        <w:tc>
          <w:tcPr>
            <w:tcW w:w="993" w:type="dxa"/>
          </w:tcPr>
          <w:p w:rsidR="00DE5BBE" w:rsidRPr="00A3719F" w:rsidRDefault="00DE5BBE" w:rsidP="00935264">
            <w:pPr>
              <w:spacing w:after="160"/>
              <w:rPr>
                <w:rFonts w:eastAsia="PMingLiU"/>
                <w:b/>
                <w:iCs/>
                <w:color w:val="000000"/>
                <w:lang w:val="en-GB"/>
              </w:rPr>
            </w:pPr>
            <w:r w:rsidRPr="00A3719F">
              <w:rPr>
                <w:rFonts w:eastAsia="PMingLiU"/>
                <w:b/>
                <w:iCs/>
                <w:color w:val="000000"/>
                <w:lang w:val="en-GB"/>
              </w:rPr>
              <w:t>H1c</w:t>
            </w:r>
          </w:p>
        </w:tc>
        <w:tc>
          <w:tcPr>
            <w:tcW w:w="4643"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 xml:space="preserve">Property physical factor  </w:t>
            </w:r>
            <w:r w:rsidRPr="00A3719F">
              <w:rPr>
                <w:rFonts w:eastAsia="PMingLiU"/>
                <w:color w:val="000000"/>
                <w:szCs w:val="15"/>
                <w:lang w:val="en-GB"/>
              </w:rPr>
              <w:t>to Financial Factor</w:t>
            </w:r>
          </w:p>
        </w:tc>
        <w:tc>
          <w:tcPr>
            <w:tcW w:w="1330"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0.082</w:t>
            </w:r>
          </w:p>
        </w:tc>
        <w:tc>
          <w:tcPr>
            <w:tcW w:w="940"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2.18*</w:t>
            </w:r>
          </w:p>
        </w:tc>
        <w:tc>
          <w:tcPr>
            <w:tcW w:w="2017" w:type="dxa"/>
          </w:tcPr>
          <w:p w:rsidR="00DE5BBE" w:rsidRPr="00A3719F" w:rsidRDefault="00DE5BBE" w:rsidP="00935264">
            <w:pPr>
              <w:spacing w:after="160"/>
              <w:rPr>
                <w:rFonts w:eastAsia="PMingLiU"/>
                <w:iCs/>
                <w:color w:val="000000"/>
                <w:lang w:val="en-GB"/>
              </w:rPr>
            </w:pPr>
            <w:r w:rsidRPr="00A3719F">
              <w:rPr>
                <w:rFonts w:eastAsia="PMingLiU"/>
                <w:color w:val="000000"/>
                <w:lang w:val="en-GB"/>
              </w:rPr>
              <w:t>Supported</w:t>
            </w:r>
          </w:p>
        </w:tc>
      </w:tr>
      <w:tr w:rsidR="00DE5BBE" w:rsidRPr="00A3719F" w:rsidTr="00935264">
        <w:trPr>
          <w:jc w:val="center"/>
        </w:trPr>
        <w:tc>
          <w:tcPr>
            <w:tcW w:w="993" w:type="dxa"/>
          </w:tcPr>
          <w:p w:rsidR="00DE5BBE" w:rsidRPr="00A3719F" w:rsidRDefault="00DE5BBE" w:rsidP="00935264">
            <w:pPr>
              <w:spacing w:after="160"/>
              <w:rPr>
                <w:rFonts w:eastAsia="PMingLiU"/>
                <w:b/>
                <w:iCs/>
                <w:color w:val="000000"/>
                <w:lang w:val="en-GB"/>
              </w:rPr>
            </w:pPr>
            <w:r w:rsidRPr="00A3719F">
              <w:rPr>
                <w:rFonts w:eastAsia="PMingLiU"/>
                <w:b/>
                <w:iCs/>
                <w:color w:val="000000"/>
                <w:lang w:val="en-GB"/>
              </w:rPr>
              <w:t>H1d</w:t>
            </w:r>
          </w:p>
        </w:tc>
        <w:tc>
          <w:tcPr>
            <w:tcW w:w="4643"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Property physical factor  to Housing preference</w:t>
            </w:r>
          </w:p>
        </w:tc>
        <w:tc>
          <w:tcPr>
            <w:tcW w:w="1330"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0.152</w:t>
            </w:r>
          </w:p>
        </w:tc>
        <w:tc>
          <w:tcPr>
            <w:tcW w:w="940"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1.98*</w:t>
            </w:r>
          </w:p>
        </w:tc>
        <w:tc>
          <w:tcPr>
            <w:tcW w:w="2017" w:type="dxa"/>
          </w:tcPr>
          <w:p w:rsidR="00DE5BBE" w:rsidRPr="00A3719F" w:rsidRDefault="00DE5BBE" w:rsidP="00935264">
            <w:pPr>
              <w:spacing w:after="160"/>
              <w:rPr>
                <w:rFonts w:eastAsia="PMingLiU"/>
                <w:iCs/>
                <w:color w:val="000000"/>
                <w:lang w:val="en-GB"/>
              </w:rPr>
            </w:pPr>
            <w:r w:rsidRPr="00A3719F">
              <w:rPr>
                <w:rFonts w:eastAsia="PMingLiU"/>
                <w:color w:val="000000"/>
                <w:lang w:val="en-GB"/>
              </w:rPr>
              <w:t>Supported</w:t>
            </w:r>
          </w:p>
        </w:tc>
      </w:tr>
      <w:tr w:rsidR="00DE5BBE" w:rsidRPr="00A3719F" w:rsidTr="00935264">
        <w:trPr>
          <w:jc w:val="center"/>
        </w:trPr>
        <w:tc>
          <w:tcPr>
            <w:tcW w:w="993" w:type="dxa"/>
          </w:tcPr>
          <w:p w:rsidR="00DE5BBE" w:rsidRPr="00A3719F" w:rsidRDefault="00DE5BBE" w:rsidP="00935264">
            <w:pPr>
              <w:spacing w:after="160"/>
              <w:rPr>
                <w:rFonts w:eastAsia="PMingLiU"/>
                <w:b/>
                <w:iCs/>
                <w:color w:val="000000"/>
                <w:lang w:val="en-GB"/>
              </w:rPr>
            </w:pPr>
            <w:r w:rsidRPr="00A3719F">
              <w:rPr>
                <w:rFonts w:eastAsia="PMingLiU"/>
                <w:b/>
                <w:iCs/>
                <w:color w:val="000000"/>
                <w:lang w:val="en-GB"/>
              </w:rPr>
              <w:t>H1e</w:t>
            </w:r>
          </w:p>
        </w:tc>
        <w:tc>
          <w:tcPr>
            <w:tcW w:w="4643"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 xml:space="preserve">Distance factor </w:t>
            </w:r>
            <w:r w:rsidRPr="00A3719F">
              <w:rPr>
                <w:rFonts w:eastAsia="PMingLiU"/>
                <w:color w:val="000000"/>
                <w:szCs w:val="15"/>
                <w:lang w:val="en-GB"/>
              </w:rPr>
              <w:t>to Financial Factor</w:t>
            </w:r>
          </w:p>
        </w:tc>
        <w:tc>
          <w:tcPr>
            <w:tcW w:w="1330"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0.290</w:t>
            </w:r>
          </w:p>
        </w:tc>
        <w:tc>
          <w:tcPr>
            <w:tcW w:w="940"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5.06**</w:t>
            </w:r>
          </w:p>
        </w:tc>
        <w:tc>
          <w:tcPr>
            <w:tcW w:w="2017" w:type="dxa"/>
          </w:tcPr>
          <w:p w:rsidR="00DE5BBE" w:rsidRPr="00A3719F" w:rsidRDefault="00DE5BBE" w:rsidP="00935264">
            <w:pPr>
              <w:spacing w:after="160"/>
              <w:rPr>
                <w:rFonts w:eastAsia="PMingLiU"/>
                <w:iCs/>
                <w:color w:val="000000"/>
                <w:lang w:val="en-GB"/>
              </w:rPr>
            </w:pPr>
            <w:r w:rsidRPr="00A3719F">
              <w:rPr>
                <w:rFonts w:eastAsia="PMingLiU"/>
                <w:color w:val="000000"/>
                <w:lang w:val="en-GB"/>
              </w:rPr>
              <w:t>Supported</w:t>
            </w:r>
          </w:p>
        </w:tc>
      </w:tr>
      <w:tr w:rsidR="00DE5BBE" w:rsidRPr="00A3719F" w:rsidTr="00935264">
        <w:trPr>
          <w:jc w:val="center"/>
        </w:trPr>
        <w:tc>
          <w:tcPr>
            <w:tcW w:w="993" w:type="dxa"/>
          </w:tcPr>
          <w:p w:rsidR="00DE5BBE" w:rsidRPr="00A3719F" w:rsidRDefault="00DE5BBE" w:rsidP="00935264">
            <w:pPr>
              <w:spacing w:after="160"/>
              <w:rPr>
                <w:rFonts w:eastAsia="PMingLiU"/>
                <w:b/>
                <w:iCs/>
                <w:color w:val="000000"/>
                <w:lang w:val="en-GB"/>
              </w:rPr>
            </w:pPr>
            <w:r w:rsidRPr="00A3719F">
              <w:rPr>
                <w:rFonts w:eastAsia="PMingLiU"/>
                <w:b/>
                <w:iCs/>
                <w:color w:val="000000"/>
                <w:lang w:val="en-GB"/>
              </w:rPr>
              <w:t>H1f</w:t>
            </w:r>
          </w:p>
        </w:tc>
        <w:tc>
          <w:tcPr>
            <w:tcW w:w="4643"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Distance factor to Housing preference</w:t>
            </w:r>
          </w:p>
        </w:tc>
        <w:tc>
          <w:tcPr>
            <w:tcW w:w="1330"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0.131</w:t>
            </w:r>
          </w:p>
        </w:tc>
        <w:tc>
          <w:tcPr>
            <w:tcW w:w="940"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2.05*</w:t>
            </w:r>
          </w:p>
        </w:tc>
        <w:tc>
          <w:tcPr>
            <w:tcW w:w="2017" w:type="dxa"/>
          </w:tcPr>
          <w:p w:rsidR="00DE5BBE" w:rsidRPr="00A3719F" w:rsidRDefault="00DE5BBE" w:rsidP="00935264">
            <w:pPr>
              <w:spacing w:after="160"/>
              <w:rPr>
                <w:rFonts w:eastAsia="PMingLiU"/>
                <w:iCs/>
                <w:color w:val="000000"/>
                <w:lang w:val="en-GB"/>
              </w:rPr>
            </w:pPr>
            <w:r w:rsidRPr="00A3719F">
              <w:rPr>
                <w:rFonts w:eastAsia="PMingLiU"/>
                <w:color w:val="000000"/>
                <w:lang w:val="en-GB"/>
              </w:rPr>
              <w:t>Supported</w:t>
            </w:r>
          </w:p>
        </w:tc>
      </w:tr>
      <w:tr w:rsidR="00DE5BBE" w:rsidRPr="00A3719F" w:rsidTr="00935264">
        <w:trPr>
          <w:jc w:val="center"/>
        </w:trPr>
        <w:tc>
          <w:tcPr>
            <w:tcW w:w="993" w:type="dxa"/>
          </w:tcPr>
          <w:p w:rsidR="00DE5BBE" w:rsidRPr="00A3719F" w:rsidRDefault="00DE5BBE" w:rsidP="00935264">
            <w:pPr>
              <w:spacing w:after="160"/>
              <w:rPr>
                <w:rFonts w:eastAsia="PMingLiU"/>
                <w:b/>
                <w:iCs/>
                <w:color w:val="000000"/>
                <w:lang w:val="en-GB"/>
              </w:rPr>
            </w:pPr>
            <w:r w:rsidRPr="00A3719F">
              <w:rPr>
                <w:rFonts w:eastAsia="PMingLiU"/>
                <w:b/>
                <w:iCs/>
                <w:color w:val="000000"/>
                <w:lang w:val="en-GB"/>
              </w:rPr>
              <w:t>H1g</w:t>
            </w:r>
          </w:p>
        </w:tc>
        <w:tc>
          <w:tcPr>
            <w:tcW w:w="4643"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 xml:space="preserve">Facilities </w:t>
            </w:r>
            <w:r w:rsidRPr="00A3719F">
              <w:rPr>
                <w:rFonts w:eastAsia="PMingLiU"/>
                <w:color w:val="000000"/>
                <w:szCs w:val="15"/>
                <w:lang w:val="en-GB"/>
              </w:rPr>
              <w:t>to Financial Factor</w:t>
            </w:r>
          </w:p>
        </w:tc>
        <w:tc>
          <w:tcPr>
            <w:tcW w:w="1330"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0.081</w:t>
            </w:r>
          </w:p>
        </w:tc>
        <w:tc>
          <w:tcPr>
            <w:tcW w:w="940"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1.99*</w:t>
            </w:r>
          </w:p>
        </w:tc>
        <w:tc>
          <w:tcPr>
            <w:tcW w:w="2017" w:type="dxa"/>
          </w:tcPr>
          <w:p w:rsidR="00DE5BBE" w:rsidRPr="00A3719F" w:rsidRDefault="00DE5BBE" w:rsidP="00935264">
            <w:pPr>
              <w:spacing w:after="160"/>
              <w:rPr>
                <w:rFonts w:eastAsia="PMingLiU"/>
                <w:iCs/>
                <w:color w:val="000000"/>
                <w:lang w:val="en-GB"/>
              </w:rPr>
            </w:pPr>
            <w:r w:rsidRPr="00A3719F">
              <w:rPr>
                <w:rFonts w:eastAsia="PMingLiU"/>
                <w:color w:val="000000"/>
                <w:lang w:val="en-GB"/>
              </w:rPr>
              <w:t>Supported</w:t>
            </w:r>
          </w:p>
        </w:tc>
      </w:tr>
      <w:tr w:rsidR="00DE5BBE" w:rsidRPr="00A3719F" w:rsidTr="00935264">
        <w:trPr>
          <w:jc w:val="center"/>
        </w:trPr>
        <w:tc>
          <w:tcPr>
            <w:tcW w:w="993" w:type="dxa"/>
          </w:tcPr>
          <w:p w:rsidR="00DE5BBE" w:rsidRPr="00A3719F" w:rsidRDefault="00DE5BBE" w:rsidP="00935264">
            <w:pPr>
              <w:spacing w:after="160"/>
              <w:rPr>
                <w:rFonts w:eastAsia="PMingLiU"/>
                <w:b/>
                <w:iCs/>
                <w:color w:val="000000"/>
                <w:lang w:val="en-GB"/>
              </w:rPr>
            </w:pPr>
            <w:r w:rsidRPr="00A3719F">
              <w:rPr>
                <w:rFonts w:eastAsia="PMingLiU"/>
                <w:b/>
                <w:iCs/>
                <w:color w:val="000000"/>
                <w:lang w:val="en-GB"/>
              </w:rPr>
              <w:t>H1h</w:t>
            </w:r>
          </w:p>
        </w:tc>
        <w:tc>
          <w:tcPr>
            <w:tcW w:w="4643"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Facilities to Housing preference</w:t>
            </w:r>
          </w:p>
        </w:tc>
        <w:tc>
          <w:tcPr>
            <w:tcW w:w="1330"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0.180</w:t>
            </w:r>
          </w:p>
        </w:tc>
        <w:tc>
          <w:tcPr>
            <w:tcW w:w="940" w:type="dxa"/>
          </w:tcPr>
          <w:p w:rsidR="00DE5BBE" w:rsidRPr="00A3719F" w:rsidRDefault="00DE5BBE" w:rsidP="00935264">
            <w:pPr>
              <w:spacing w:after="160"/>
              <w:rPr>
                <w:rFonts w:eastAsia="PMingLiU"/>
                <w:iCs/>
                <w:color w:val="000000"/>
                <w:lang w:val="en-GB"/>
              </w:rPr>
            </w:pPr>
            <w:r w:rsidRPr="00A3719F">
              <w:rPr>
                <w:rFonts w:eastAsia="PMingLiU"/>
                <w:iCs/>
                <w:color w:val="000000"/>
                <w:lang w:val="en-GB"/>
              </w:rPr>
              <w:t>2.74**</w:t>
            </w:r>
          </w:p>
        </w:tc>
        <w:tc>
          <w:tcPr>
            <w:tcW w:w="2017" w:type="dxa"/>
          </w:tcPr>
          <w:p w:rsidR="00DE5BBE" w:rsidRPr="00A3719F" w:rsidRDefault="00DE5BBE" w:rsidP="00935264">
            <w:pPr>
              <w:spacing w:after="160"/>
              <w:rPr>
                <w:rFonts w:eastAsia="PMingLiU"/>
                <w:iCs/>
                <w:color w:val="000000"/>
                <w:lang w:val="en-GB"/>
              </w:rPr>
            </w:pPr>
            <w:r w:rsidRPr="00A3719F">
              <w:rPr>
                <w:rFonts w:eastAsia="PMingLiU"/>
                <w:color w:val="000000"/>
                <w:lang w:val="en-GB"/>
              </w:rPr>
              <w:t>Supported</w:t>
            </w:r>
          </w:p>
        </w:tc>
      </w:tr>
      <w:tr w:rsidR="00DE5BBE" w:rsidRPr="00A3719F" w:rsidTr="00935264">
        <w:trPr>
          <w:jc w:val="center"/>
        </w:trPr>
        <w:tc>
          <w:tcPr>
            <w:tcW w:w="993" w:type="dxa"/>
            <w:tcBorders>
              <w:bottom w:val="single" w:sz="18" w:space="0" w:color="auto"/>
            </w:tcBorders>
          </w:tcPr>
          <w:p w:rsidR="00DE5BBE" w:rsidRPr="00A3719F" w:rsidRDefault="00DE5BBE" w:rsidP="00935264">
            <w:pPr>
              <w:spacing w:after="160"/>
              <w:rPr>
                <w:rFonts w:eastAsia="PMingLiU"/>
                <w:b/>
                <w:iCs/>
                <w:color w:val="000000"/>
                <w:lang w:val="en-GB"/>
              </w:rPr>
            </w:pPr>
            <w:r w:rsidRPr="00A3719F">
              <w:rPr>
                <w:rFonts w:eastAsia="PMingLiU"/>
                <w:b/>
                <w:iCs/>
                <w:color w:val="000000"/>
                <w:lang w:val="en-GB"/>
              </w:rPr>
              <w:t>H2</w:t>
            </w:r>
          </w:p>
        </w:tc>
        <w:tc>
          <w:tcPr>
            <w:tcW w:w="4643" w:type="dxa"/>
            <w:tcBorders>
              <w:bottom w:val="single" w:sz="18" w:space="0" w:color="auto"/>
            </w:tcBorders>
          </w:tcPr>
          <w:p w:rsidR="00DE5BBE" w:rsidRPr="00A3719F" w:rsidRDefault="00DE5BBE" w:rsidP="00935264">
            <w:pPr>
              <w:spacing w:after="160"/>
              <w:rPr>
                <w:rFonts w:eastAsia="PMingLiU"/>
                <w:iCs/>
                <w:color w:val="000000"/>
                <w:lang w:val="en-GB"/>
              </w:rPr>
            </w:pPr>
            <w:r w:rsidRPr="00A3719F">
              <w:rPr>
                <w:rFonts w:eastAsia="PMingLiU"/>
                <w:iCs/>
                <w:color w:val="000000"/>
                <w:lang w:val="en-GB"/>
              </w:rPr>
              <w:t>Financial Factor  to Housing preference</w:t>
            </w:r>
          </w:p>
        </w:tc>
        <w:tc>
          <w:tcPr>
            <w:tcW w:w="1330" w:type="dxa"/>
            <w:tcBorders>
              <w:bottom w:val="single" w:sz="18" w:space="0" w:color="auto"/>
            </w:tcBorders>
          </w:tcPr>
          <w:p w:rsidR="00DE5BBE" w:rsidRPr="00A3719F" w:rsidRDefault="00DE5BBE" w:rsidP="00935264">
            <w:pPr>
              <w:spacing w:after="160"/>
              <w:rPr>
                <w:rFonts w:eastAsia="PMingLiU"/>
                <w:iCs/>
                <w:color w:val="000000"/>
                <w:lang w:val="en-GB"/>
              </w:rPr>
            </w:pPr>
            <w:r w:rsidRPr="00A3719F">
              <w:rPr>
                <w:rFonts w:eastAsia="PMingLiU"/>
                <w:iCs/>
                <w:color w:val="000000"/>
                <w:lang w:val="en-GB"/>
              </w:rPr>
              <w:t>0.191</w:t>
            </w:r>
          </w:p>
        </w:tc>
        <w:tc>
          <w:tcPr>
            <w:tcW w:w="940" w:type="dxa"/>
            <w:tcBorders>
              <w:bottom w:val="single" w:sz="18" w:space="0" w:color="auto"/>
            </w:tcBorders>
          </w:tcPr>
          <w:p w:rsidR="00DE5BBE" w:rsidRPr="00A3719F" w:rsidRDefault="00DE5BBE" w:rsidP="00935264">
            <w:pPr>
              <w:spacing w:after="160"/>
              <w:rPr>
                <w:rFonts w:eastAsia="PMingLiU"/>
                <w:iCs/>
                <w:color w:val="000000"/>
                <w:lang w:val="en-GB"/>
              </w:rPr>
            </w:pPr>
            <w:r w:rsidRPr="00A3719F">
              <w:rPr>
                <w:rFonts w:eastAsia="PMingLiU"/>
                <w:iCs/>
                <w:color w:val="000000"/>
                <w:lang w:val="en-GB"/>
              </w:rPr>
              <w:t>2.55**</w:t>
            </w:r>
          </w:p>
        </w:tc>
        <w:tc>
          <w:tcPr>
            <w:tcW w:w="2017" w:type="dxa"/>
            <w:tcBorders>
              <w:bottom w:val="single" w:sz="18" w:space="0" w:color="auto"/>
            </w:tcBorders>
          </w:tcPr>
          <w:p w:rsidR="00DE5BBE" w:rsidRPr="00A3719F" w:rsidRDefault="00DE5BBE" w:rsidP="00935264">
            <w:pPr>
              <w:spacing w:after="160"/>
              <w:rPr>
                <w:rFonts w:eastAsia="PMingLiU"/>
                <w:iCs/>
                <w:color w:val="000000"/>
                <w:lang w:val="en-GB"/>
              </w:rPr>
            </w:pPr>
            <w:r w:rsidRPr="00A3719F">
              <w:rPr>
                <w:rFonts w:eastAsia="PMingLiU"/>
                <w:color w:val="000000"/>
                <w:lang w:val="en-GB"/>
              </w:rPr>
              <w:t>Supported</w:t>
            </w:r>
          </w:p>
        </w:tc>
      </w:tr>
    </w:tbl>
    <w:p w:rsidR="00691691" w:rsidRDefault="00DE5BBE" w:rsidP="00935264">
      <w:pPr>
        <w:spacing w:after="0" w:line="240" w:lineRule="auto"/>
        <w:jc w:val="both"/>
        <w:rPr>
          <w:rFonts w:ascii="Times New Roman" w:eastAsia="PMingLiU" w:hAnsi="Times New Roman" w:cs="Times New Roman"/>
          <w:iCs/>
          <w:color w:val="000000"/>
          <w:lang w:val="en-GB"/>
        </w:rPr>
      </w:pPr>
      <w:r w:rsidRPr="00A3719F">
        <w:rPr>
          <w:rFonts w:ascii="Times New Roman" w:eastAsia="PMingLiU" w:hAnsi="Times New Roman" w:cs="Times New Roman"/>
          <w:iCs/>
          <w:color w:val="000000"/>
          <w:lang w:val="en-GB"/>
        </w:rPr>
        <w:t>Note: *p&lt;0.05, **p&lt;0.01, p***&lt;0.001</w:t>
      </w:r>
    </w:p>
    <w:p w:rsidR="00DE5BBE" w:rsidRDefault="00DE5BBE" w:rsidP="00935264">
      <w:pPr>
        <w:spacing w:after="0" w:line="240" w:lineRule="auto"/>
        <w:jc w:val="both"/>
        <w:rPr>
          <w:rFonts w:asciiTheme="majorBidi" w:hAnsiTheme="majorBidi" w:cstheme="majorBidi"/>
          <w:sz w:val="24"/>
          <w:szCs w:val="24"/>
        </w:rPr>
      </w:pPr>
    </w:p>
    <w:p w:rsidR="00691691" w:rsidRPr="00865825" w:rsidRDefault="00691691" w:rsidP="00865825">
      <w:pPr>
        <w:pStyle w:val="JCBIF21heading1"/>
        <w:spacing w:after="0"/>
        <w:ind w:left="0"/>
        <w:rPr>
          <w:rFonts w:ascii="Times New Roman" w:hAnsi="Times New Roman"/>
          <w:sz w:val="28"/>
          <w:szCs w:val="28"/>
        </w:rPr>
      </w:pPr>
      <w:r w:rsidRPr="00211282">
        <w:rPr>
          <w:rFonts w:ascii="Times New Roman" w:hAnsi="Times New Roman"/>
          <w:sz w:val="28"/>
          <w:szCs w:val="28"/>
        </w:rPr>
        <w:t xml:space="preserve">Conclusion and </w:t>
      </w:r>
      <w:r>
        <w:rPr>
          <w:rFonts w:ascii="Times New Roman" w:hAnsi="Times New Roman"/>
          <w:sz w:val="28"/>
          <w:szCs w:val="28"/>
        </w:rPr>
        <w:t>Discussion</w:t>
      </w:r>
    </w:p>
    <w:p w:rsidR="00E22183" w:rsidRDefault="00E22183" w:rsidP="00E22183">
      <w:pPr>
        <w:rPr>
          <w:rFonts w:ascii="Times New Roman" w:hAnsi="Times New Roman" w:cs="Times New Roman"/>
          <w:b/>
          <w:sz w:val="24"/>
          <w:szCs w:val="24"/>
        </w:rPr>
      </w:pPr>
      <w:r>
        <w:rPr>
          <w:rFonts w:ascii="Times New Roman" w:hAnsi="Times New Roman" w:cs="Times New Roman"/>
          <w:b/>
          <w:sz w:val="24"/>
          <w:szCs w:val="24"/>
        </w:rPr>
        <w:t>Discussion, Implications, Limitations</w:t>
      </w:r>
    </w:p>
    <w:p w:rsidR="00E22183" w:rsidRDefault="00E22183" w:rsidP="00E22183">
      <w:pPr>
        <w:rPr>
          <w:rFonts w:ascii="Times New Roman" w:hAnsi="Times New Roman" w:cs="Times New Roman"/>
          <w:b/>
          <w:sz w:val="24"/>
          <w:szCs w:val="24"/>
        </w:rPr>
      </w:pPr>
      <w:r>
        <w:rPr>
          <w:rFonts w:ascii="Times New Roman" w:hAnsi="Times New Roman" w:cs="Times New Roman"/>
          <w:b/>
          <w:sz w:val="24"/>
          <w:szCs w:val="24"/>
        </w:rPr>
        <w:t>Discussion</w:t>
      </w:r>
    </w:p>
    <w:p w:rsidR="00E22183" w:rsidRPr="000C2926" w:rsidRDefault="00E22183" w:rsidP="00E22183">
      <w:pPr>
        <w:spacing w:line="240" w:lineRule="auto"/>
        <w:jc w:val="both"/>
        <w:rPr>
          <w:rFonts w:ascii="Times New Roman" w:hAnsi="Times New Roman" w:cs="Times New Roman"/>
          <w:sz w:val="24"/>
          <w:szCs w:val="24"/>
        </w:rPr>
      </w:pPr>
      <w:r w:rsidRPr="00E23B08">
        <w:rPr>
          <w:rFonts w:ascii="Times New Roman" w:hAnsi="Times New Roman" w:cs="Times New Roman"/>
          <w:sz w:val="24"/>
          <w:szCs w:val="24"/>
        </w:rPr>
        <w:t>The objective of this study is to investigate the factors of housing preference using data collected from residence of Hyderabad.</w:t>
      </w:r>
      <w:r>
        <w:rPr>
          <w:rFonts w:ascii="Times New Roman" w:hAnsi="Times New Roman" w:cs="Times New Roman"/>
          <w:sz w:val="24"/>
          <w:szCs w:val="24"/>
        </w:rPr>
        <w:t xml:space="preserve"> </w:t>
      </w:r>
      <w:r w:rsidRPr="00820120">
        <w:rPr>
          <w:rFonts w:ascii="Times New Roman" w:hAnsi="Times New Roman" w:cs="Times New Roman"/>
          <w:sz w:val="24"/>
          <w:szCs w:val="24"/>
        </w:rPr>
        <w:t>The study of homebuyers in Hyderabad indicated that all of the parameters had a substantial association with housing pr</w:t>
      </w:r>
      <w:r>
        <w:rPr>
          <w:rFonts w:ascii="Times New Roman" w:hAnsi="Times New Roman" w:cs="Times New Roman"/>
          <w:sz w:val="24"/>
          <w:szCs w:val="24"/>
        </w:rPr>
        <w:t>eferences and financial factors. Specifically, results indicates that environmental factor,</w:t>
      </w:r>
      <w:r w:rsidRPr="00E23B08">
        <w:t xml:space="preserve"> </w:t>
      </w:r>
      <w:r w:rsidRPr="00E23B08">
        <w:rPr>
          <w:rFonts w:ascii="Times New Roman" w:hAnsi="Times New Roman" w:cs="Times New Roman"/>
          <w:sz w:val="24"/>
          <w:szCs w:val="24"/>
        </w:rPr>
        <w:t>Property Physical Factors, Distance Factors, Faculties are significantly related to ho</w:t>
      </w:r>
      <w:r>
        <w:rPr>
          <w:rFonts w:ascii="Times New Roman" w:hAnsi="Times New Roman" w:cs="Times New Roman"/>
          <w:sz w:val="24"/>
          <w:szCs w:val="24"/>
        </w:rPr>
        <w:t>using preference, H (1a) to H (ha) is validated by current study. Past studies have investigated the housing preference using several features.</w:t>
      </w:r>
      <w:r w:rsidRPr="003D3141">
        <w:t xml:space="preserve"> </w:t>
      </w:r>
      <w:r w:rsidRPr="003D3141">
        <w:rPr>
          <w:rFonts w:ascii="Times New Roman" w:hAnsi="Times New Roman" w:cs="Times New Roman"/>
          <w:sz w:val="24"/>
          <w:szCs w:val="24"/>
        </w:rPr>
        <w:t xml:space="preserve">In contrast to the findings of this study,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AuthorYear="1"&gt;&lt;Author&gt;Kanwal&lt;/Author&gt;&lt;Year&gt;2019&lt;/Year&gt;&lt;RecNum&gt;3792&lt;/RecNum&gt;&lt;DisplayText&gt;Kanwal, Chong, et al. (2019b)&lt;/DisplayText&gt;&lt;record&gt;&lt;rec-number&gt;3792&lt;/rec-number&gt;&lt;foreign-keys&gt;&lt;key app="EN" db-id="900edwzvlz5zfoeradsxtdxf2swapvrr2ddd" timestamp="1548795189"&gt;3792&lt;/key&gt;&lt;/foreign-keys&gt;&lt;ref-type name="Journal Article"&gt;17&lt;/ref-type&gt;&lt;contributors&gt;&lt;authors&gt;&lt;author&gt;Kanwal, Shamsa&lt;/author&gt;&lt;author&gt;Chong, Ren&lt;/author&gt;&lt;author&gt;Pitafi, Abdul Hameed&lt;/author&gt;&lt;/authors&gt;&lt;/contributors&gt;&lt;titles&gt;&lt;title&gt;Support for China–Pakistan Economic Corridor development in Pakistan: A local community perspective using the social exchange theory&lt;/title&gt;&lt;secondary-title&gt;Journal of Public Affairs&lt;/secondary-title&gt;&lt;/titles&gt;&lt;periodical&gt;&lt;full-title&gt;Journal of Public Affairs&lt;/full-title&gt;&lt;/periodical&gt;&lt;pages&gt;12&lt;/pages&gt;&lt;volume&gt;19&lt;/volume&gt;&lt;number&gt;2&lt;/number&gt;&lt;dates&gt;&lt;year&gt;2019&lt;/year&gt;&lt;/dates&gt;&lt;isbn&gt;1472-3891&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Kanwal, Chong, et al. (2019b)</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D3141">
        <w:rPr>
          <w:rFonts w:ascii="Times New Roman" w:hAnsi="Times New Roman" w:cs="Times New Roman"/>
          <w:sz w:val="24"/>
          <w:szCs w:val="24"/>
        </w:rPr>
        <w:t>claim that the income range has had a substantial impact on the housing sector</w:t>
      </w:r>
      <w:r w:rsidRPr="000C2926">
        <w:rPr>
          <w:rFonts w:ascii="Times New Roman" w:hAnsi="Times New Roman" w:cs="Times New Roman"/>
          <w:sz w:val="24"/>
          <w:szCs w:val="24"/>
        </w:rPr>
        <w:t>. Further studies reported that the most important elements determining purchasers' house preferences are the cost, the location, and the economic and social environment of the community</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&lt;EndNote&gt;&lt;Cite&gt;&lt;Author&gt;Christensen&lt;/Author&gt;&lt;Year&gt;2022&lt;/Year&gt;&lt;RecNum&gt;5124&lt;/RecNum&gt;&lt;DisplayText&gt;(Christensen &amp;amp; Timmins, 2022)&lt;/DisplayText&gt;&lt;record&gt;&lt;rec-number&gt;5124&lt;/rec-number&gt;&lt;foreign-keys&gt;&lt;key app="EN" db-id="900edwzvlz5zfoeradsxtdxf2swapvrr2ddd" timestamp="1691076942"&gt;5124&lt;/key&gt;&lt;/foreign-keys&gt;&lt;ref-type name="Journal Article"&gt;17&lt;/ref-type&gt;&lt;contributors&gt;&lt;authors&gt;&lt;author&gt;Christensen, Peter&lt;/author&gt;&lt;author&gt;Timmins, Christopher&lt;/author&gt;&lt;/authors&gt;&lt;/contributors&gt;&lt;titles&gt;&lt;title&gt;Sorting or steering: The effects of housing discrimination on neighborhood choice&lt;/title&gt;&lt;secondary-title&gt;Journal of Political Economy&lt;/secondary-title&gt;&lt;/titles&gt;&lt;periodical&gt;&lt;full-title&gt;Journal of Political Economy&lt;/full-title&gt;&lt;/periodical&gt;&lt;pages&gt;2110-2163&lt;/pages&gt;&lt;volume&gt;130&lt;/volume&gt;&lt;number&gt;8&lt;/number&gt;&lt;dates&gt;&lt;year&gt;2022&lt;/year&gt;&lt;/dates&gt;&lt;isbn&gt;0022-3808&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(Christensen &amp; Timmins,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8093B">
        <w:rPr>
          <w:rFonts w:ascii="Times New Roman" w:hAnsi="Times New Roman" w:cs="Times New Roman"/>
          <w:sz w:val="24"/>
          <w:szCs w:val="24"/>
        </w:rPr>
        <w:t>Furthermore, purchasers would examine the accessibility of neighboring facilities such as retail shops and eateries, health care, police headquarters, and other amenities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&lt;EndNote&gt;&lt;Cite&gt;&lt;Author&gt;Zambrano-Monserrate&lt;/Author&gt;&lt;Year&gt;2019&lt;/Year&gt;&lt;RecNum&gt;5162&lt;/RecNum&gt;&lt;DisplayText&gt;(Zambrano-Monserrate &amp;amp; Ruano, 2019)&lt;/DisplayText&gt;&lt;record&gt;&lt;rec-number&gt;5162&lt;/rec-number&gt;&lt;foreign-keys&gt;&lt;key app="EN" db-id="900edwzvlz5zfoeradsxtdxf2swapvrr2ddd" timestamp="1691130134"&gt;5162&lt;/key&gt;&lt;/foreign-keys&gt;&lt;ref-type name="Journal Article"&gt;17&lt;/ref-type&gt;&lt;contributors&gt;&lt;authors&gt;&lt;author&gt;Zambrano-Monserrate, Manuel A&lt;/author&gt;&lt;author&gt;Ruano, María Alejandra&lt;/author&gt;&lt;/authors&gt;&lt;/contributors&gt;&lt;titles&gt;&lt;title&gt;Does environmental noise affect housing rental prices in developing countries? Evidence from Ecuador&lt;/title&gt;&lt;secondary-title&gt;Land use policy&lt;/secondary-title&gt;&lt;/titles&gt;&lt;periodical&gt;&lt;full-title&gt;Land use policy&lt;/full-title&gt;&lt;/periodical&gt;&lt;pages&gt;104059&lt;/pages&gt;&lt;volume&gt;87&lt;/volume&gt;&lt;dates&gt;&lt;year&gt;2019&lt;/year&gt;&lt;/dates&gt;&lt;isbn&gt;0264-8377&lt;/isbn&gt;&lt;urls&gt;&lt;/urls&gt;&lt;/record&gt;&lt;/Cite&gt;&lt;/EndNote&gt;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(Zambrano-Monserrate &amp; Ruano, 2019)</w:t>
      </w:r>
      <w:r>
        <w:rPr>
          <w:rFonts w:ascii="Times New Roman" w:hAnsi="Times New Roman" w:cs="Times New Roman"/>
          <w:sz w:val="24"/>
          <w:szCs w:val="24"/>
        </w:rPr>
        <w:fldChar w:fldCharType="end"/>
      </w:r>
      <w:r w:rsidRPr="00C8093B">
        <w:rPr>
          <w:rFonts w:ascii="Times New Roman" w:hAnsi="Times New Roman" w:cs="Times New Roman"/>
          <w:sz w:val="24"/>
          <w:szCs w:val="24"/>
        </w:rPr>
        <w:t>.</w:t>
      </w:r>
    </w:p>
    <w:p w:rsidR="00E22183" w:rsidRDefault="00E22183" w:rsidP="00E22183">
      <w:pPr>
        <w:spacing w:line="240" w:lineRule="auto"/>
        <w:jc w:val="both"/>
        <w:rPr>
          <w:rFonts w:ascii="Times New Roman" w:hAnsi="Times New Roman" w:cs="Times New Roman"/>
          <w:sz w:val="24"/>
          <w:szCs w:val="24"/>
        </w:rPr>
      </w:pPr>
      <w:r w:rsidRPr="00E23B08">
        <w:rPr>
          <w:rFonts w:ascii="Times New Roman" w:hAnsi="Times New Roman" w:cs="Times New Roman"/>
          <w:sz w:val="24"/>
          <w:szCs w:val="24"/>
        </w:rPr>
        <w:t xml:space="preserve">Additionally, results also indicates that financial factor </w:t>
      </w:r>
      <w:r>
        <w:rPr>
          <w:rFonts w:ascii="Times New Roman" w:hAnsi="Times New Roman" w:cs="Times New Roman"/>
          <w:sz w:val="24"/>
          <w:szCs w:val="24"/>
        </w:rPr>
        <w:t xml:space="preserve">is </w:t>
      </w:r>
      <w:r w:rsidRPr="00E23B08">
        <w:rPr>
          <w:rFonts w:ascii="Times New Roman" w:hAnsi="Times New Roman" w:cs="Times New Roman"/>
          <w:sz w:val="24"/>
          <w:szCs w:val="24"/>
        </w:rPr>
        <w:t>also significantl</w:t>
      </w:r>
      <w:r>
        <w:rPr>
          <w:rFonts w:ascii="Times New Roman" w:hAnsi="Times New Roman" w:cs="Times New Roman"/>
          <w:sz w:val="24"/>
          <w:szCs w:val="24"/>
        </w:rPr>
        <w:t>y related to housing preference, hypothesis 2 is also validated by the current study.</w:t>
      </w:r>
      <w:r w:rsidRPr="00E23B08">
        <w:rPr>
          <w:rFonts w:ascii="Times New Roman" w:hAnsi="Times New Roman" w:cs="Times New Roman"/>
          <w:sz w:val="24"/>
          <w:szCs w:val="24"/>
        </w:rPr>
        <w:t xml:space="preserve"> </w:t>
      </w:r>
      <w:r w:rsidRPr="0073444F">
        <w:rPr>
          <w:rFonts w:ascii="Times New Roman" w:hAnsi="Times New Roman" w:cs="Times New Roman"/>
          <w:sz w:val="24"/>
          <w:szCs w:val="24"/>
        </w:rPr>
        <w:t xml:space="preserve">Before purchasing a home, purchasers would evaluate neighborhood issues including safety, sound, natural environment, </w:t>
      </w:r>
      <w:r w:rsidRPr="0073444F">
        <w:rPr>
          <w:rFonts w:ascii="Times New Roman" w:hAnsi="Times New Roman" w:cs="Times New Roman"/>
          <w:sz w:val="24"/>
          <w:szCs w:val="24"/>
        </w:rPr>
        <w:lastRenderedPageBreak/>
        <w:t>amount of pollutants, and the existence of gated and guarded protection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&lt;EndNote&gt;&lt;Cite&gt;&lt;Author&gt;McClure&lt;/Author&gt;&lt;Year&gt;2019&lt;/Year&gt;&lt;RecNum&gt;5159&lt;/RecNum&gt;&lt;DisplayText&gt;(McClure, 2019)&lt;/DisplayText&gt;&lt;record&gt;&lt;rec-number&gt;5159&lt;/rec-number&gt;&lt;foreign-keys&gt;&lt;key app="EN" db-id="900edwzvlz5zfoeradsxtdxf2swapvrr2ddd" timestamp="1691128381"&gt;5159&lt;/key&gt;&lt;/foreign-keys&gt;&lt;ref-type name="Journal Article"&gt;17&lt;/ref-type&gt;&lt;contributors&gt;&lt;authors&gt;&lt;author&gt;McClure, Kirk&lt;/author&gt;&lt;/authors&gt;&lt;/contributors&gt;&lt;titles&gt;&lt;title&gt;What should be the future of the Low-Income Housing Tax Credit program?&lt;/title&gt;&lt;secondary-title&gt;Housing Policy Debate&lt;/secondary-title&gt;&lt;/titles&gt;&lt;periodical&gt;&lt;full-title&gt;Housing Policy Debate&lt;/full-title&gt;&lt;/periodical&gt;&lt;pages&gt;65-81&lt;/pages&gt;&lt;volume&gt;29&lt;/volume&gt;&lt;number&gt;1&lt;/number&gt;&lt;dates&gt;&lt;year&gt;2019&lt;/year&gt;&lt;/dates&gt;&lt;isbn&gt;1051-1482&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(McClure, 2019)</w:t>
      </w:r>
      <w:r>
        <w:rPr>
          <w:rFonts w:ascii="Times New Roman" w:hAnsi="Times New Roman" w:cs="Times New Roman"/>
          <w:sz w:val="24"/>
          <w:szCs w:val="24"/>
        </w:rPr>
        <w:fldChar w:fldCharType="end"/>
      </w:r>
      <w:r w:rsidRPr="0073444F">
        <w:rPr>
          <w:rFonts w:ascii="Times New Roman" w:hAnsi="Times New Roman" w:cs="Times New Roman"/>
          <w:sz w:val="24"/>
          <w:szCs w:val="24"/>
        </w:rPr>
        <w:t>.</w:t>
      </w:r>
      <w:r w:rsidRPr="007166B1">
        <w:t xml:space="preserve"> </w:t>
      </w:r>
      <w:r w:rsidRPr="007166B1">
        <w:rPr>
          <w:rFonts w:ascii="Times New Roman" w:hAnsi="Times New Roman" w:cs="Times New Roman"/>
          <w:sz w:val="24"/>
          <w:szCs w:val="24"/>
        </w:rPr>
        <w:t>Homebuyers will also choose properties near amenities that includes highway, and bus terminal, among other things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&lt;EndNote&gt;&lt;Cite&gt;&lt;Author&gt;Kim&lt;/Author&gt;&lt;Year&gt;2019&lt;/Year&gt;&lt;RecNum&gt;5174&lt;/RecNum&gt;&lt;DisplayText&gt;(Kim et al., 2019)&lt;/DisplayText&gt;&lt;record&gt;&lt;rec-number&gt;5174&lt;/rec-number&gt;&lt;foreign-keys&gt;&lt;key app="EN" db-id="900edwzvlz5zfoeradsxtdxf2swapvrr2ddd" timestamp="1691133935"&gt;5174&lt;/key&gt;&lt;/foreign-keys&gt;&lt;ref-type name="Journal Article"&gt;17&lt;/ref-type&gt;&lt;contributors&gt;&lt;authors&gt;&lt;author&gt;Kim, Hyun-Soo&lt;/author&gt;&lt;author&gt;Lee, Go-Eun&lt;/author&gt;&lt;author&gt;Lee, Jae-Song&lt;/author&gt;&lt;author&gt;Choi, Yeol&lt;/author&gt;&lt;/authors&gt;&lt;/contributors&gt;&lt;titles&gt;&lt;title&gt;Understanding the local impact of urban park plans and park typology on housing price: A case study of the Busan metropolitan region, Korea&lt;/title&gt;&lt;secondary-title&gt;Landscape and Urban Planning&lt;/secondary-title&gt;&lt;/titles&gt;&lt;periodical&gt;&lt;full-title&gt;Landscape and Urban Planning&lt;/full-title&gt;&lt;/periodical&gt;&lt;pages&gt;1-11&lt;/pages&gt;&lt;volume&gt;184&lt;/volume&gt;&lt;dates&gt;&lt;year&gt;2019&lt;/year&gt;&lt;/dates&gt;&lt;isbn&gt;0169-2046&lt;/isbn&gt;&lt;urls&gt;&lt;/urls&gt;&lt;/record&gt;&lt;/Cite&gt;&lt;/EndNote&gt;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(Kim et al., 2019)</w:t>
      </w:r>
      <w:r>
        <w:rPr>
          <w:rFonts w:ascii="Times New Roman" w:hAnsi="Times New Roman" w:cs="Times New Roman"/>
          <w:sz w:val="24"/>
          <w:szCs w:val="24"/>
        </w:rPr>
        <w:fldChar w:fldCharType="end"/>
      </w:r>
      <w:r w:rsidRPr="007166B1">
        <w:rPr>
          <w:rFonts w:ascii="Times New Roman" w:hAnsi="Times New Roman" w:cs="Times New Roman"/>
          <w:sz w:val="24"/>
          <w:szCs w:val="24"/>
        </w:rPr>
        <w:t>. As a result, homebuyers must consider the distance to faci</w:t>
      </w:r>
      <w:r>
        <w:rPr>
          <w:rFonts w:ascii="Times New Roman" w:hAnsi="Times New Roman" w:cs="Times New Roman"/>
          <w:sz w:val="24"/>
          <w:szCs w:val="24"/>
        </w:rPr>
        <w:t xml:space="preserve">lities when selecting a house. </w:t>
      </w:r>
      <w:r w:rsidRPr="007166B1">
        <w:rPr>
          <w:rFonts w:ascii="Times New Roman" w:hAnsi="Times New Roman" w:cs="Times New Roman"/>
          <w:sz w:val="24"/>
          <w:szCs w:val="24"/>
        </w:rPr>
        <w:t>Accessibility to shopping malls and grocery stores will also influence purchasers' house selection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&lt;EndNote&gt;&lt;Cite&gt;&lt;Author&gt;Farraz&lt;/Author&gt;&lt;Year&gt;2019&lt;/Year&gt;&lt;RecNum&gt;5158&lt;/RecNum&gt;&lt;DisplayText&gt;(Farraz &amp;amp; Barus, 2019)&lt;/DisplayText&gt;&lt;record&gt;&lt;rec-number&gt;5158&lt;/rec-number&gt;&lt;foreign-keys&gt;&lt;key app="EN" db-id="900edwzvlz5zfoeradsxtdxf2swapvrr2ddd" timestamp="1691128351"&gt;5158&lt;/key&gt;&lt;/foreign-keys&gt;&lt;ref-type name="Conference Proceedings"&gt;10&lt;/ref-type&gt;&lt;contributors&gt;&lt;authors&gt;&lt;author&gt;Farraz, MA&lt;/author&gt;&lt;author&gt;Barus, LS&lt;/author&gt;&lt;/authors&gt;&lt;/contributors&gt;&lt;titles&gt;&lt;title&gt;Housing Preferences and Choice Young Families Commuters in Depok City, Indonesia&lt;/title&gt;&lt;secondary-title&gt;IOP Conference Series: Earth and Environmental Science&lt;/secondary-title&gt;&lt;/titles&gt;&lt;pages&gt;012010&lt;/pages&gt;&lt;volume&gt;264&lt;/volume&gt;&lt;number&gt;1&lt;/number&gt;&lt;dates&gt;&lt;year&gt;2019&lt;/year&gt;&lt;/dates&gt;&lt;publisher&gt;IOP Publishing&lt;/publisher&gt;&lt;isbn&gt;1755-1315&lt;/isbn&gt;&lt;urls&gt;&lt;/urls&gt;&lt;/record&gt;&lt;/Cite&gt;&lt;/EndNote&gt;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(Farraz &amp; Barus, 2019)</w:t>
      </w:r>
      <w:r>
        <w:rPr>
          <w:rFonts w:ascii="Times New Roman" w:hAnsi="Times New Roman" w:cs="Times New Roman"/>
          <w:sz w:val="24"/>
          <w:szCs w:val="24"/>
        </w:rPr>
        <w:fldChar w:fldCharType="end"/>
      </w:r>
      <w:r w:rsidRPr="007166B1">
        <w:rPr>
          <w:rFonts w:ascii="Times New Roman" w:hAnsi="Times New Roman" w:cs="Times New Roman"/>
          <w:sz w:val="24"/>
          <w:szCs w:val="24"/>
        </w:rPr>
        <w:t>.</w:t>
      </w:r>
      <w:r w:rsidRPr="008053A9">
        <w:t xml:space="preserve"> </w:t>
      </w:r>
      <w:r w:rsidRPr="00043E4D">
        <w:rPr>
          <w:rFonts w:ascii="Times New Roman" w:hAnsi="Times New Roman" w:cs="Times New Roman"/>
          <w:sz w:val="24"/>
          <w:szCs w:val="24"/>
        </w:rPr>
        <w:t>In summary, considering the results, all respondents indicated that all of these criteria were crucial in making a decision when selecting residential accommodation in a gated community</w:t>
      </w:r>
      <w:r>
        <w:rPr>
          <w:rFonts w:ascii="Times New Roman" w:hAnsi="Times New Roman" w:cs="Times New Roman"/>
          <w:sz w:val="24"/>
          <w:szCs w:val="24"/>
        </w:rPr>
        <w:t xml:space="preserve">. </w:t>
      </w:r>
      <w:r w:rsidRPr="000E383E">
        <w:rPr>
          <w:rFonts w:ascii="Times New Roman" w:hAnsi="Times New Roman" w:cs="Times New Roman"/>
          <w:sz w:val="24"/>
          <w:szCs w:val="24"/>
        </w:rPr>
        <w:t>According to the findings, individuals like their surroundings the most. The environment is measured by the state of the neighborhood, the attractiveness of the region, the available protection against criminal activity, and, last but not least</w:t>
      </w:r>
      <w:r>
        <w:rPr>
          <w:rFonts w:ascii="Times New Roman" w:hAnsi="Times New Roman" w:cs="Times New Roman"/>
          <w:sz w:val="24"/>
          <w:szCs w:val="24"/>
        </w:rPr>
        <w:t xml:space="preserve">, its safety against a disaster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&lt;EndNote&gt;&lt;Cite&gt;&lt;Author&gt;Plaza&lt;/Author&gt;&lt;Year&gt;2021&lt;/Year&gt;&lt;RecNum&gt;5156&lt;/RecNum&gt;&lt;DisplayText&gt;(Plaza, 2021)&lt;/DisplayText&gt;&lt;record&gt;&lt;rec-number&gt;5156&lt;/rec-number&gt;&lt;foreign-keys&gt;&lt;key app="EN" db-id="900edwzvlz5zfoeradsxtdxf2swapvrr2ddd" timestamp="1691128285"&gt;5156&lt;/key&gt;&lt;/foreign-keys&gt;&lt;ref-type name="Conference Proceedings"&gt;10&lt;/ref-type&gt;&lt;contributors&gt;&lt;authors&gt;&lt;author&gt;Plaza, Melody Narisma&lt;/author&gt;&lt;/authors&gt;&lt;/contributors&gt;&lt;titles&gt;&lt;title&gt;Housing Preference and Affordability of Buyers in Global Housing Market&lt;/title&gt;&lt;secondary-title&gt;Ascendens Asia Journal of Multidisciplinary Research Conference Proceedings&lt;/secondary-title&gt;&lt;/titles&gt;&lt;volume&gt;4&lt;/volume&gt;&lt;number&gt;1&lt;/number&gt;&lt;dates&gt;&lt;year&gt;2021&lt;/year&gt;&lt;/dates&gt;&lt;isbn&gt;2529-7902&lt;/isbn&gt;&lt;urls&gt;&lt;/urls&gt;&lt;/record&gt;&lt;/Cite&gt;&lt;/EndNote&gt;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(Plaza,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17AAA">
        <w:rPr>
          <w:rFonts w:ascii="Times New Roman" w:hAnsi="Times New Roman" w:cs="Times New Roman"/>
          <w:sz w:val="24"/>
          <w:szCs w:val="24"/>
        </w:rPr>
        <w:t>It then demonstrates the amount of relevance between the neighborhood and its surrounds, and it was discovered that a sense of neighborhood and an established environment in the surroundings are critical in supporting healthy individual growth of a community.</w:t>
      </w:r>
    </w:p>
    <w:p w:rsidR="00E22183" w:rsidRDefault="00E22183" w:rsidP="00E22183">
      <w:pPr>
        <w:spacing w:line="360" w:lineRule="auto"/>
        <w:jc w:val="both"/>
        <w:rPr>
          <w:rFonts w:ascii="Times New Roman" w:hAnsi="Times New Roman" w:cs="Times New Roman"/>
          <w:b/>
          <w:sz w:val="24"/>
          <w:szCs w:val="24"/>
        </w:rPr>
      </w:pPr>
      <w:r>
        <w:rPr>
          <w:rFonts w:ascii="Times New Roman" w:hAnsi="Times New Roman" w:cs="Times New Roman"/>
          <w:b/>
          <w:sz w:val="24"/>
          <w:szCs w:val="24"/>
        </w:rPr>
        <w:t>Implications</w:t>
      </w:r>
    </w:p>
    <w:p w:rsidR="00E22183" w:rsidRDefault="00E22183" w:rsidP="00E2218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This study has several contributions. First, t</w:t>
      </w:r>
      <w:r w:rsidRPr="005B0F87">
        <w:rPr>
          <w:rFonts w:ascii="Times New Roman" w:hAnsi="Times New Roman" w:cs="Times New Roman"/>
          <w:bCs/>
          <w:sz w:val="24"/>
          <w:szCs w:val="24"/>
        </w:rPr>
        <w:t>his study is pertinent to housing developers because they must exercise caution before starting any new housing projects in Hyderabad because of the growing concern over property overhang.</w:t>
      </w:r>
      <w:r>
        <w:rPr>
          <w:rFonts w:ascii="Times New Roman" w:hAnsi="Times New Roman" w:cs="Times New Roman"/>
          <w:bCs/>
          <w:sz w:val="24"/>
          <w:szCs w:val="24"/>
        </w:rPr>
        <w:t xml:space="preserve"> Hyderabad housing developers should adopt a longer term and more holistic vision of value addition to their housing products rather than focusing only on price competitiveness to drive price. They ought to consider how people in Hyderabad are changing their lifestyles as they plan and design their products. A good housing development project should be created to assist families in creating a neighborhood that is safe and secure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&lt;EndNote&gt;&lt;Cite&gt;&lt;Author&gt;Mast&lt;/Author&gt;&lt;Year&gt;2019&lt;/Year&gt;&lt;RecNum&gt;5155&lt;/RecNum&gt;&lt;DisplayText&gt;(Mast, 2019)&lt;/DisplayText&gt;&lt;record&gt;&lt;rec-number&gt;5155&lt;/rec-number&gt;&lt;foreign-keys&gt;&lt;key app="EN" db-id="900edwzvlz5zfoeradsxtdxf2swapvrr2ddd" timestamp="1691128256"&gt;5155&lt;/key&gt;&lt;/foreign-keys&gt;&lt;ref-type name="Journal Article"&gt;17&lt;/ref-type&gt;&lt;contributors&gt;&lt;authors&gt;&lt;author&gt;Mast, Evan&lt;/author&gt;&lt;/authors&gt;&lt;/contributors&gt;&lt;titles&gt;&lt;title&gt;The effect of new market-rate housing construction on the low-income housing market&lt;/title&gt;&lt;secondary-title&gt;Upjohn Institute WP&lt;/secondary-title&gt;&lt;/titles&gt;&lt;periodical&gt;&lt;full-title&gt;Upjohn Institute WP&lt;/full-title&gt;&lt;/periodical&gt;&lt;pages&gt;19-307&lt;/pages&gt;&lt;dates&gt;&lt;year&gt;2019&lt;/year&gt;&lt;/dates&gt;&lt;urls&gt;&lt;/urls&gt;&lt;/record&gt;&lt;/Cite&gt;&lt;Cite&gt;&lt;Author&gt;Mast&lt;/Author&gt;&lt;Year&gt;2019&lt;/Year&gt;&lt;RecNum&gt;5155&lt;/RecNum&gt;&lt;record&gt;&lt;rec-number&gt;5155&lt;/rec-number&gt;&lt;foreign-keys&gt;&lt;key app="EN" db-id="900edwzvlz5zfoeradsxtdxf2swapvrr2ddd" timestamp="1691128256"&gt;5155&lt;/key&gt;&lt;/foreign-keys&gt;&lt;ref-type name="Journal Article"&gt;17&lt;/ref-type&gt;&lt;contributors&gt;&lt;authors&gt;&lt;author&gt;Mast, Evan&lt;/author&gt;&lt;/authors&gt;&lt;/contributors&gt;&lt;titles&gt;&lt;title&gt;The effect of new market-rate housing construction on the low-income housing market&lt;/title&gt;&lt;secondary-title&gt;Upjohn Institute WP&lt;/secondary-title&gt;&lt;/titles&gt;&lt;periodical&gt;&lt;full-title&gt;Upjohn Institute WP&lt;/full-title&gt;&lt;/periodical&gt;&lt;pages&gt;19-307&lt;/pages&gt;&lt;dates&gt;&lt;year&gt;2019&lt;/year&gt;&lt;/dates&gt;&lt;urls&gt;&lt;/urls&gt;&lt;/record&gt;&lt;/Cite&gt;&lt;/EndNote&gt;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(Mast, 2019)</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Housing developers should be therefore making an effort to lead the initiative to guarantee the safety, security and well-being of all homebuyers in the neighborhood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&lt;EndNote&gt;&lt;Cite&gt;&lt;Author&gt;Li&lt;/Author&gt;&lt;Year&gt;2019&lt;/Year&gt;&lt;RecNum&gt;5171&lt;/RecNum&gt;&lt;DisplayText&gt;(H. Li et al., 2019)&lt;/DisplayText&gt;&lt;record&gt;&lt;rec-number&gt;5171&lt;/rec-number&gt;&lt;foreign-keys&gt;&lt;key app="EN" db-id="900edwzvlz5zfoeradsxtdxf2swapvrr2ddd" timestamp="1691133807"&gt;5171&lt;/key&gt;&lt;/foreign-keys&gt;&lt;ref-type name="Journal Article"&gt;17&lt;/ref-type&gt;&lt;contributors&gt;&lt;authors&gt;&lt;author&gt;Li, Han&lt;/author&gt;&lt;author&gt;Wei, Yehua Dennis&lt;/author&gt;&lt;author&gt;Wu, Yangyi&lt;/author&gt;&lt;author&gt;Tian, Guang&lt;/author&gt;&lt;/authors&gt;&lt;/contributors&gt;&lt;titles&gt;&lt;title&gt;Analyzing housing prices in Shanghai with open data: Amenity, accessibility and urban structure&lt;/title&gt;&lt;secondary-title&gt;Cities&lt;/secondary-title&gt;&lt;/titles&gt;&lt;periodical&gt;&lt;full-title&gt;Cities&lt;/full-title&gt;&lt;/periodical&gt;&lt;pages&gt;165-179&lt;/pages&gt;&lt;volume&gt;91&lt;/volume&gt;&lt;dates&gt;&lt;year&gt;2019&lt;/year&gt;&lt;/dates&gt;&lt;isbn&gt;0264-2751&lt;/isbn&gt;&lt;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(H. Li et al., 2019)</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A house is now more than just a place to live. It is now referred to as a lifestyle or a place to express the character, self-image and personality of the owner. Second, it is strongly advised that when planning their housing developments, developers take gated and guarded properties into account rather than just unsightly ones. It is reasonable to assume that neighborhood characteristics influence the residential property values. </w:t>
      </w:r>
    </w:p>
    <w:p w:rsidR="00E22183" w:rsidRPr="005B0F87" w:rsidRDefault="00E22183" w:rsidP="00E2218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Third, developers should offer intangible benefits in the neighborhood that are desired by today’s homebuyers such as the design and layout of the house, a sense of security, a feeling of harmony with one’s surroundings, and an infrastructure that supports the lifestyle of homebuyers, in order to meet the needs of the increasingly affluent and discerning homebuyers. Instead of just offering dream homes in prime locations.    </w:t>
      </w:r>
    </w:p>
    <w:p w:rsidR="00E22183" w:rsidRDefault="00E22183" w:rsidP="00E22183">
      <w:pPr>
        <w:rPr>
          <w:rFonts w:ascii="Times New Roman" w:hAnsi="Times New Roman" w:cs="Times New Roman"/>
          <w:b/>
          <w:sz w:val="24"/>
          <w:szCs w:val="24"/>
        </w:rPr>
      </w:pPr>
      <w:r>
        <w:rPr>
          <w:rFonts w:ascii="Times New Roman" w:hAnsi="Times New Roman" w:cs="Times New Roman"/>
          <w:b/>
          <w:sz w:val="24"/>
          <w:szCs w:val="24"/>
        </w:rPr>
        <w:t>Limitations</w:t>
      </w:r>
    </w:p>
    <w:p w:rsidR="00E22183" w:rsidRDefault="00E22183" w:rsidP="00E2218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Although the current study has several implications, it also has some limitations that should be discussed for future studies. First, t</w:t>
      </w:r>
      <w:r w:rsidRPr="00034C05">
        <w:rPr>
          <w:rFonts w:ascii="Times New Roman" w:hAnsi="Times New Roman" w:cs="Times New Roman"/>
          <w:bCs/>
          <w:sz w:val="24"/>
          <w:szCs w:val="24"/>
        </w:rPr>
        <w:t>he researchers randomly chose a small number of residential housing types in gated and guarded communities because there are many different types of residential housing in developing nations.</w:t>
      </w:r>
      <w:r>
        <w:rPr>
          <w:rFonts w:ascii="Times New Roman" w:hAnsi="Times New Roman" w:cs="Times New Roman"/>
          <w:bCs/>
          <w:sz w:val="24"/>
          <w:szCs w:val="24"/>
        </w:rPr>
        <w:t xml:space="preserve"> Residential housing in such areas may be more or less likely to be purchased depending on the type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&lt;EndNote&gt;&lt;Cite&gt;&lt;Author&gt;Huang&lt;/Author&gt;&lt;Year&gt;2023&lt;/Year&gt;&lt;RecNum&gt;5138&lt;/RecNum&gt;&lt;DisplayText&gt;(Huang et al., 2023)&lt;/DisplayText&gt;&lt;record&gt;&lt;rec-number&gt;5138&lt;/rec-number&gt;&lt;foreign-keys&gt;&lt;key app="EN" db-id="900edwzvlz5zfoeradsxtdxf2swapvrr2ddd" timestamp="1691083499"&gt;5138&lt;/key&gt;&lt;/foreign-keys&gt;&lt;ref-type name="Journal Article"&gt;17&lt;/ref-type&gt;&lt;contributors&gt;&lt;authors&gt;&lt;author&gt;Huang, Yuanyuan&lt;/author&gt;&lt;author&gt;Lieske, Scott N&lt;/author&gt;&lt;author&gt;Wang, Siqin&lt;/author&gt;&lt;author&gt;Liu, Yan&lt;/author&gt;&lt;/authors&gt;&lt;/contributors&gt;&lt;titles&gt;&lt;title&gt;How does heterogeneity in dwelling type preferences relate to housing and built environment characteristics?&lt;/title&gt;&lt;secondary-title&gt;International Journal of Digital Earth&lt;/secondary-title&gt;&lt;/titles&gt;&lt;periodical&gt;&lt;full-title&gt;International Journal of Digital Earth&lt;/full-title&gt;&lt;/periodical&gt;&lt;pages&gt;93-112&lt;/pages&gt;&lt;volume&gt;16&lt;/volume&gt;&lt;number&gt;1&lt;/number&gt;&lt;dates&gt;&lt;year&gt;2023&lt;/year&gt;&lt;/dates&gt;&lt;isbn&gt;1753-8947&lt;/isbn&gt;&lt;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(Huang et al., 2023)</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As a result, the sample size may </w:t>
      </w:r>
      <w:r>
        <w:rPr>
          <w:rFonts w:ascii="Times New Roman" w:hAnsi="Times New Roman" w:cs="Times New Roman"/>
          <w:bCs/>
          <w:sz w:val="24"/>
          <w:szCs w:val="24"/>
        </w:rPr>
        <w:lastRenderedPageBreak/>
        <w:t xml:space="preserve">not accurately represent all residential housing types in a gated and guarded community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&lt;EndNote&gt;&lt;Cite&gt;&lt;Author&gt;Xu&lt;/Author&gt;&lt;RecNum&gt;4989&lt;/RecNum&gt;&lt;DisplayText&gt;(Xu, Pitafi, &amp;amp; Shang)&lt;/DisplayText&gt;&lt;record&gt;&lt;rec-number&gt;4989&lt;/rec-number&gt;&lt;foreign-keys&gt;&lt;key app="EN" db-id="900edwzvlz5zfoeradsxtdxf2swapvrr2ddd" timestamp="1643013125"&gt;4989&lt;/key&gt;&lt;/foreign-keys&gt;&lt;ref-type name="Journal Article"&gt;17&lt;/ref-type&gt;&lt;contributors&gt;&lt;authors&gt;&lt;author&gt;Xu, Aidi&lt;/author&gt;&lt;author&gt;Pitafi, Abdul Hameed&lt;/author&gt;&lt;author&gt;Shang, Yunfeng&lt;/author&gt;&lt;/authors&gt;&lt;/contributors&gt;&lt;titles&gt;&lt;title&gt;Investigating the Impact of the External Environment and Benchmark characteristics on the China-Pakistan Economic Corridor’s Construction: A COVID-19 Perspective&lt;/title&gt;&lt;secondary-title&gt;Frontiers in Psychology&lt;/secondary-title&gt;&lt;/titles&gt;&lt;periodical&gt;&lt;full-title&gt;Frontiers in psychology&lt;/full-title&gt;&lt;/periodical&gt;&lt;pages&gt;6507&lt;/pages&gt;&lt;dates&gt;&lt;/dates&gt;&lt;isbn&gt;1664-1078&lt;/isbn&gt;&lt;urls&gt;&lt;/urls&gt;&lt;/record&gt;&lt;/Cite&gt;&lt;/EndNote&gt;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(Xu, Pitafi, &amp; Shang)</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It is advised that future researchers concentrate on one or more of the identified types of residential property such as condominiums, terrace houses and buildings with one, two or more </w:t>
      </w:r>
      <w:proofErr w:type="spellStart"/>
      <w:r>
        <w:rPr>
          <w:rFonts w:ascii="Times New Roman" w:hAnsi="Times New Roman" w:cs="Times New Roman"/>
          <w:bCs/>
          <w:sz w:val="24"/>
          <w:szCs w:val="24"/>
        </w:rPr>
        <w:t>storey’s</w:t>
      </w:r>
      <w:proofErr w:type="spellEnd"/>
      <w:r>
        <w:rPr>
          <w:rFonts w:ascii="Times New Roman" w:hAnsi="Times New Roman" w:cs="Times New Roman"/>
          <w:bCs/>
          <w:sz w:val="24"/>
          <w:szCs w:val="24"/>
        </w:rPr>
        <w:t>. Second, when it came to sampling the researchers concentrate on Hyderabad a developing city. Because convenience sampling was used in the study all of the respondents were chosen at the researcher’s convenience. It is suggested that future researchers use the stratified sampling approach to get a more precise result in these areas.</w:t>
      </w:r>
    </w:p>
    <w:p w:rsidR="00E22183" w:rsidRPr="00034C05" w:rsidRDefault="00E22183" w:rsidP="00E2218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Third, this study has not used any moderating variable, Future scholars are suggested to use a moderating construct and highlight the factors of housing preferences. In addition, this study addressed most of housing preferences, future scholars are suggested to investigate more housing preference related factors.</w:t>
      </w:r>
      <w:r w:rsidR="00867769">
        <w:rPr>
          <w:rFonts w:ascii="Times New Roman" w:hAnsi="Times New Roman" w:cs="Times New Roman"/>
          <w:bCs/>
          <w:sz w:val="24"/>
          <w:szCs w:val="24"/>
        </w:rPr>
        <w:t xml:space="preserve"> Overall, we have discussed the implications and limitations of our research following previously published studies </w:t>
      </w:r>
      <w:r w:rsidR="00867769" w:rsidRPr="00867769">
        <w:rPr>
          <w:rFonts w:ascii="Times New Roman" w:hAnsi="Times New Roman" w:cs="Times New Roman"/>
          <w:bCs/>
          <w:sz w:val="24"/>
          <w:szCs w:val="24"/>
        </w:rPr>
        <w:t>(</w:t>
      </w:r>
      <w:r w:rsidR="00867769">
        <w:rPr>
          <w:rFonts w:ascii="Times New Roman" w:hAnsi="Times New Roman" w:cs="Times New Roman"/>
          <w:bCs/>
          <w:sz w:val="24"/>
          <w:szCs w:val="24"/>
        </w:rPr>
        <w:t xml:space="preserve">e.g., </w:t>
      </w:r>
      <w:r w:rsidR="00867769" w:rsidRPr="00867769">
        <w:rPr>
          <w:rFonts w:ascii="Times New Roman" w:hAnsi="Times New Roman" w:cs="Times New Roman"/>
          <w:bCs/>
          <w:sz w:val="24"/>
          <w:szCs w:val="24"/>
        </w:rPr>
        <w:t>Ahmed, Nawaz, &amp; Rasheed, 2019; Anser et al., 2022; Chang et al., 2022; Khalid, Weng, Luqman, Rasheed, &amp; Hina, 2022, 2023; Khan, Liu, Khan, Liu, &amp; Rasheed, 2020; Khizar, Iqbal, &amp; Rasheed, 2021; Rasheed &amp; Weng, 2019; Umrani et al., 2022; Yousaf, Humayon, Rasheed, Ahmed, &amp; Danish, 2014</w:t>
      </w:r>
      <w:r w:rsidR="00867769">
        <w:rPr>
          <w:rFonts w:ascii="Times New Roman" w:hAnsi="Times New Roman" w:cs="Times New Roman"/>
          <w:noProof/>
          <w:sz w:val="24"/>
          <w:szCs w:val="24"/>
        </w:rPr>
        <w:t>).</w:t>
      </w:r>
      <w:r w:rsidR="00867769">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E22183" w:rsidRDefault="00E22183" w:rsidP="00E22183">
      <w:pPr>
        <w:rPr>
          <w:rFonts w:ascii="Times New Roman" w:hAnsi="Times New Roman" w:cs="Times New Roman"/>
          <w:b/>
          <w:sz w:val="24"/>
          <w:szCs w:val="24"/>
        </w:rPr>
      </w:pPr>
      <w:r>
        <w:rPr>
          <w:rFonts w:ascii="Times New Roman" w:hAnsi="Times New Roman" w:cs="Times New Roman"/>
          <w:b/>
          <w:sz w:val="24"/>
          <w:szCs w:val="24"/>
        </w:rPr>
        <w:t>Conclusion</w:t>
      </w:r>
    </w:p>
    <w:p w:rsidR="00E22183" w:rsidRDefault="00E22183" w:rsidP="00E22183">
      <w:pPr>
        <w:spacing w:line="240" w:lineRule="auto"/>
        <w:jc w:val="both"/>
        <w:rPr>
          <w:rFonts w:ascii="Times New Roman" w:hAnsi="Times New Roman" w:cs="Times New Roman"/>
          <w:sz w:val="24"/>
          <w:szCs w:val="24"/>
        </w:rPr>
      </w:pPr>
      <w:r w:rsidRPr="007030B2">
        <w:rPr>
          <w:rFonts w:ascii="Times New Roman" w:hAnsi="Times New Roman" w:cs="Times New Roman"/>
          <w:sz w:val="24"/>
          <w:szCs w:val="24"/>
        </w:rPr>
        <w:t>The purpose of this study is to investigate the housing preference related factors.</w:t>
      </w:r>
      <w:r>
        <w:rPr>
          <w:rFonts w:ascii="Times New Roman" w:hAnsi="Times New Roman" w:cs="Times New Roman"/>
          <w:sz w:val="24"/>
          <w:szCs w:val="24"/>
        </w:rPr>
        <w:t xml:space="preserve"> The all suggested hypothesis are validated by current data. Specifically, results indicated that environmental factor, distance, facilities,</w:t>
      </w:r>
      <w:r w:rsidRPr="00290C65">
        <w:t xml:space="preserve"> </w:t>
      </w:r>
      <w:r w:rsidRPr="00290C65">
        <w:rPr>
          <w:rFonts w:ascii="Times New Roman" w:hAnsi="Times New Roman" w:cs="Times New Roman"/>
          <w:sz w:val="24"/>
          <w:szCs w:val="24"/>
        </w:rPr>
        <w:t>Property Physical Factors</w:t>
      </w:r>
      <w:r>
        <w:rPr>
          <w:rFonts w:ascii="Times New Roman" w:hAnsi="Times New Roman" w:cs="Times New Roman"/>
          <w:sz w:val="24"/>
          <w:szCs w:val="24"/>
        </w:rPr>
        <w:t xml:space="preserve"> are positively related to financial factor. Furthermore, results also showed that financial factor also have significant effect on housing preference.</w:t>
      </w:r>
      <w:r w:rsidRPr="00290C65">
        <w:t xml:space="preserve"> </w:t>
      </w:r>
      <w:r w:rsidRPr="002977BE">
        <w:rPr>
          <w:rFonts w:ascii="Times New Roman" w:hAnsi="Times New Roman" w:cs="Times New Roman"/>
          <w:sz w:val="24"/>
          <w:szCs w:val="24"/>
        </w:rPr>
        <w:t>This is since Hyderabad city is regarded as the greatest place to work due to its central location.</w:t>
      </w:r>
      <w:r w:rsidRPr="00290C65">
        <w:rPr>
          <w:rFonts w:ascii="Times New Roman" w:hAnsi="Times New Roman" w:cs="Times New Roman"/>
          <w:sz w:val="24"/>
          <w:szCs w:val="24"/>
        </w:rPr>
        <w:t xml:space="preserve"> </w:t>
      </w:r>
      <w:r w:rsidRPr="002977BE">
        <w:rPr>
          <w:rFonts w:ascii="Times New Roman" w:hAnsi="Times New Roman" w:cs="Times New Roman"/>
          <w:sz w:val="24"/>
          <w:szCs w:val="24"/>
        </w:rPr>
        <w:t>This rationale demonstrates the significance of strategic sites such as proximity to workplaces, schools and nurseries, as well as simple accessibility, which are significantly associated with people's everyday lives in Hyderabad.</w:t>
      </w:r>
      <w:r w:rsidRPr="00290C65">
        <w:rPr>
          <w:rFonts w:ascii="Times New Roman" w:hAnsi="Times New Roman" w:cs="Times New Roman"/>
          <w:sz w:val="24"/>
          <w:szCs w:val="24"/>
        </w:rPr>
        <w:t xml:space="preserve"> </w:t>
      </w:r>
      <w:r w:rsidRPr="002977BE">
        <w:rPr>
          <w:rFonts w:ascii="Times New Roman" w:hAnsi="Times New Roman" w:cs="Times New Roman"/>
          <w:sz w:val="24"/>
          <w:szCs w:val="24"/>
        </w:rPr>
        <w:t xml:space="preserve">As a result, rather of emphasizing the financial and neighborhood considerations, homebuyers will evaluate the distance factor and the environment prior to acquiring a property to guarantee that they are investing in a good place for their stay.   </w:t>
      </w:r>
    </w:p>
    <w:p w:rsidR="00691691" w:rsidRPr="00B96A75" w:rsidRDefault="00691691" w:rsidP="00935264">
      <w:pPr>
        <w:pStyle w:val="JCBIF21heading1"/>
        <w:spacing w:after="0"/>
        <w:ind w:left="0"/>
        <w:rPr>
          <w:rFonts w:ascii="Times New Roman" w:hAnsi="Times New Roman"/>
          <w:sz w:val="28"/>
          <w:szCs w:val="28"/>
        </w:rPr>
      </w:pPr>
      <w:r w:rsidRPr="00B96A75">
        <w:rPr>
          <w:rFonts w:ascii="Times New Roman" w:hAnsi="Times New Roman"/>
          <w:sz w:val="28"/>
          <w:szCs w:val="28"/>
        </w:rPr>
        <w:t>References</w:t>
      </w:r>
    </w:p>
    <w:p w:rsidR="00691691" w:rsidRDefault="00691691" w:rsidP="00935264">
      <w:pPr>
        <w:pStyle w:val="EndNoteBibliography"/>
        <w:spacing w:after="0"/>
        <w:ind w:left="720" w:hanging="720"/>
        <w:rPr>
          <w:rFonts w:ascii="Times New Roman" w:eastAsia="Times New Roman" w:hAnsi="Times New Roman" w:cs="Times New Roman"/>
          <w:noProof w:val="0"/>
          <w:snapToGrid w:val="0"/>
          <w:color w:val="000000"/>
          <w:sz w:val="24"/>
          <w:szCs w:val="24"/>
          <w:lang w:eastAsia="de-DE" w:bidi="en-US"/>
        </w:rPr>
      </w:pP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Acolin</w:t>
      </w:r>
      <w:proofErr w:type="spellEnd"/>
      <w:r w:rsidRPr="00E22183">
        <w:rPr>
          <w:rFonts w:asciiTheme="majorBidi" w:hAnsiTheme="majorBidi" w:cstheme="majorBidi"/>
          <w:sz w:val="24"/>
          <w:szCs w:val="24"/>
        </w:rPr>
        <w:t xml:space="preserve">, A., &amp; Reina, V. (2022). Housing cost burden and life satisfaction. </w:t>
      </w:r>
      <w:r w:rsidRPr="00E22183">
        <w:rPr>
          <w:rFonts w:asciiTheme="majorBidi" w:hAnsiTheme="majorBidi" w:cstheme="majorBidi"/>
          <w:i/>
          <w:sz w:val="24"/>
          <w:szCs w:val="24"/>
        </w:rPr>
        <w:t>Journal of Housing and the Built Environment</w:t>
      </w:r>
      <w:r w:rsidRPr="00E22183">
        <w:rPr>
          <w:rFonts w:asciiTheme="majorBidi" w:hAnsiTheme="majorBidi" w:cstheme="majorBidi"/>
          <w:sz w:val="24"/>
          <w:szCs w:val="24"/>
        </w:rPr>
        <w:t xml:space="preserve">, 1-27.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Affuso</w:t>
      </w:r>
      <w:proofErr w:type="spellEnd"/>
      <w:r w:rsidRPr="00E22183">
        <w:rPr>
          <w:rFonts w:asciiTheme="majorBidi" w:hAnsiTheme="majorBidi" w:cstheme="majorBidi"/>
          <w:sz w:val="24"/>
          <w:szCs w:val="24"/>
        </w:rPr>
        <w:t xml:space="preserve">, E., Caudill, S. B., Mixon, F. G., &amp; Starnes, K. W. (2019). Is airport proximity an amenity or </w:t>
      </w:r>
      <w:proofErr w:type="spellStart"/>
      <w:r w:rsidRPr="00E22183">
        <w:rPr>
          <w:rFonts w:asciiTheme="majorBidi" w:hAnsiTheme="majorBidi" w:cstheme="majorBidi"/>
          <w:sz w:val="24"/>
          <w:szCs w:val="24"/>
        </w:rPr>
        <w:t>disamenity</w:t>
      </w:r>
      <w:proofErr w:type="spellEnd"/>
      <w:r w:rsidRPr="00E22183">
        <w:rPr>
          <w:rFonts w:asciiTheme="majorBidi" w:hAnsiTheme="majorBidi" w:cstheme="majorBidi"/>
          <w:sz w:val="24"/>
          <w:szCs w:val="24"/>
        </w:rPr>
        <w:t xml:space="preserve">? An empirical investigation based on house prices. </w:t>
      </w:r>
      <w:r w:rsidRPr="00E22183">
        <w:rPr>
          <w:rFonts w:asciiTheme="majorBidi" w:hAnsiTheme="majorBidi" w:cstheme="majorBidi"/>
          <w:i/>
          <w:sz w:val="24"/>
          <w:szCs w:val="24"/>
        </w:rPr>
        <w:t>Land Economics, 95</w:t>
      </w:r>
      <w:r w:rsidRPr="00E22183">
        <w:rPr>
          <w:rFonts w:asciiTheme="majorBidi" w:hAnsiTheme="majorBidi" w:cstheme="majorBidi"/>
          <w:sz w:val="24"/>
          <w:szCs w:val="24"/>
        </w:rPr>
        <w:t xml:space="preserve">(3), 391-408.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Ahmed, H., Nawaz, S., &amp; Rasheed, M. I. (2019). Self-efficacy, self-esteem, and career success: the role of perceived employability. </w:t>
      </w:r>
      <w:r>
        <w:rPr>
          <w:rFonts w:ascii="Times New Roman" w:hAnsi="Times New Roman" w:cs="Times New Roman"/>
          <w:i/>
          <w:sz w:val="24"/>
          <w:szCs w:val="24"/>
        </w:rPr>
        <w:t>Journal of Management Sciences, 6</w:t>
      </w:r>
      <w:r>
        <w:rPr>
          <w:rFonts w:ascii="Times New Roman" w:hAnsi="Times New Roman" w:cs="Times New Roman"/>
          <w:sz w:val="24"/>
          <w:szCs w:val="24"/>
        </w:rPr>
        <w:t xml:space="preserve">(2), 18-32.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Anser, M. K., Yousaf, Z., Yasir, M., Sharif, M., Nasir, M. H., Rasheed, M. I., . . . Majid, A. (2022). How to unleash innovative work behavior of SMEs' workers through knowledge sharing? </w:t>
      </w:r>
      <w:r>
        <w:rPr>
          <w:rFonts w:ascii="Times New Roman" w:hAnsi="Times New Roman" w:cs="Times New Roman"/>
          <w:sz w:val="24"/>
          <w:szCs w:val="24"/>
        </w:rPr>
        <w:lastRenderedPageBreak/>
        <w:t xml:space="preserve">Accessing functional flexibility as a mediator. </w:t>
      </w:r>
      <w:r>
        <w:rPr>
          <w:rFonts w:ascii="Times New Roman" w:hAnsi="Times New Roman" w:cs="Times New Roman"/>
          <w:i/>
          <w:sz w:val="24"/>
          <w:szCs w:val="24"/>
        </w:rPr>
        <w:t>European Journal of Innovation Management, 25</w:t>
      </w:r>
      <w:r>
        <w:rPr>
          <w:rFonts w:ascii="Times New Roman" w:hAnsi="Times New Roman" w:cs="Times New Roman"/>
          <w:sz w:val="24"/>
          <w:szCs w:val="24"/>
        </w:rPr>
        <w:t xml:space="preserve">(1), 233-248.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Anser, M. K., Zaigham, G. H. K., Imran Rasheed, M., Pitafi, A. H., Iqbal, J., &amp; Luqman, A. (2020). Social media usage and individuals' intentions toward adopting Bitcoin: The role of the theory of planned behavior and perceived risk. </w:t>
      </w:r>
      <w:r>
        <w:rPr>
          <w:rFonts w:ascii="Times New Roman" w:hAnsi="Times New Roman" w:cs="Times New Roman"/>
          <w:i/>
          <w:sz w:val="24"/>
          <w:szCs w:val="24"/>
        </w:rPr>
        <w:t>International journal of communication systems, 33</w:t>
      </w:r>
      <w:r>
        <w:rPr>
          <w:rFonts w:ascii="Times New Roman" w:hAnsi="Times New Roman" w:cs="Times New Roman"/>
          <w:sz w:val="24"/>
          <w:szCs w:val="24"/>
        </w:rPr>
        <w:t xml:space="preserve">(17), e4590.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Ali, L., Mi, J., Shah, M., Khan, A., &amp; Imran, M. (2017). Transport culture akin to the China-Pakistan economic corridor. </w:t>
      </w:r>
      <w:r w:rsidRPr="00E22183">
        <w:rPr>
          <w:rFonts w:asciiTheme="majorBidi" w:hAnsiTheme="majorBidi" w:cstheme="majorBidi"/>
          <w:i/>
          <w:sz w:val="24"/>
          <w:szCs w:val="24"/>
        </w:rPr>
        <w:t>Human Systems Management, 36</w:t>
      </w:r>
      <w:r w:rsidRPr="00E22183">
        <w:rPr>
          <w:rFonts w:asciiTheme="majorBidi" w:hAnsiTheme="majorBidi" w:cstheme="majorBidi"/>
          <w:sz w:val="24"/>
          <w:szCs w:val="24"/>
        </w:rPr>
        <w:t xml:space="preserve">(4), 381-396.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Alig</w:t>
      </w:r>
      <w:proofErr w:type="spellEnd"/>
      <w:r w:rsidRPr="00E22183">
        <w:rPr>
          <w:rFonts w:asciiTheme="majorBidi" w:hAnsiTheme="majorBidi" w:cstheme="majorBidi"/>
          <w:sz w:val="24"/>
          <w:szCs w:val="24"/>
        </w:rPr>
        <w:t xml:space="preserve">, B. N., </w:t>
      </w:r>
      <w:proofErr w:type="spellStart"/>
      <w:r w:rsidRPr="00E22183">
        <w:rPr>
          <w:rFonts w:asciiTheme="majorBidi" w:hAnsiTheme="majorBidi" w:cstheme="majorBidi"/>
          <w:sz w:val="24"/>
          <w:szCs w:val="24"/>
        </w:rPr>
        <w:t>Ferket</w:t>
      </w:r>
      <w:proofErr w:type="spellEnd"/>
      <w:r w:rsidRPr="00E22183">
        <w:rPr>
          <w:rFonts w:asciiTheme="majorBidi" w:hAnsiTheme="majorBidi" w:cstheme="majorBidi"/>
          <w:sz w:val="24"/>
          <w:szCs w:val="24"/>
        </w:rPr>
        <w:t xml:space="preserve">, P. R., </w:t>
      </w:r>
      <w:proofErr w:type="spellStart"/>
      <w:r w:rsidRPr="00E22183">
        <w:rPr>
          <w:rFonts w:asciiTheme="majorBidi" w:hAnsiTheme="majorBidi" w:cstheme="majorBidi"/>
          <w:sz w:val="24"/>
          <w:szCs w:val="24"/>
        </w:rPr>
        <w:t>Malheiros</w:t>
      </w:r>
      <w:proofErr w:type="spellEnd"/>
      <w:r w:rsidRPr="00E22183">
        <w:rPr>
          <w:rFonts w:asciiTheme="majorBidi" w:hAnsiTheme="majorBidi" w:cstheme="majorBidi"/>
          <w:sz w:val="24"/>
          <w:szCs w:val="24"/>
        </w:rPr>
        <w:t xml:space="preserve">, R. D., &amp; Anderson, K. E. (2023). The effect of housing environment on commercial brown egg layer production, USDA grade and USDA size distribution. </w:t>
      </w:r>
      <w:r w:rsidRPr="00E22183">
        <w:rPr>
          <w:rFonts w:asciiTheme="majorBidi" w:hAnsiTheme="majorBidi" w:cstheme="majorBidi"/>
          <w:i/>
          <w:sz w:val="24"/>
          <w:szCs w:val="24"/>
        </w:rPr>
        <w:t>Animals, 13</w:t>
      </w:r>
      <w:r w:rsidRPr="00E22183">
        <w:rPr>
          <w:rFonts w:asciiTheme="majorBidi" w:hAnsiTheme="majorBidi" w:cstheme="majorBidi"/>
          <w:sz w:val="24"/>
          <w:szCs w:val="24"/>
        </w:rPr>
        <w:t xml:space="preserve">(4), 694.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Asma, W., Daud, N. H. A., &amp; </w:t>
      </w:r>
      <w:proofErr w:type="spellStart"/>
      <w:r w:rsidRPr="00E22183">
        <w:rPr>
          <w:rFonts w:asciiTheme="majorBidi" w:hAnsiTheme="majorBidi" w:cstheme="majorBidi"/>
          <w:sz w:val="24"/>
          <w:szCs w:val="24"/>
        </w:rPr>
        <w:t>Junuidin</w:t>
      </w:r>
      <w:proofErr w:type="spellEnd"/>
      <w:r w:rsidRPr="00E22183">
        <w:rPr>
          <w:rFonts w:asciiTheme="majorBidi" w:hAnsiTheme="majorBidi" w:cstheme="majorBidi"/>
          <w:sz w:val="24"/>
          <w:szCs w:val="24"/>
        </w:rPr>
        <w:t xml:space="preserve">, N. A. (2022). Comparison between preference of swiftlet housing design and characteristics by ranchers in Sabah and Sarawak. </w:t>
      </w:r>
      <w:r w:rsidRPr="00E22183">
        <w:rPr>
          <w:rFonts w:asciiTheme="majorBidi" w:hAnsiTheme="majorBidi" w:cstheme="majorBidi"/>
          <w:i/>
          <w:sz w:val="24"/>
          <w:szCs w:val="24"/>
        </w:rPr>
        <w:t>Journal of Tourism, Hospitality and Environment Management, 7</w:t>
      </w:r>
      <w:r w:rsidRPr="00E22183">
        <w:rPr>
          <w:rFonts w:asciiTheme="majorBidi" w:hAnsiTheme="majorBidi" w:cstheme="majorBidi"/>
          <w:sz w:val="24"/>
          <w:szCs w:val="24"/>
        </w:rPr>
        <w:t xml:space="preserve">, 15-29.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Azam Khan, M., Ali, N., Khan, H., &amp; </w:t>
      </w:r>
      <w:proofErr w:type="spellStart"/>
      <w:r w:rsidRPr="00E22183">
        <w:rPr>
          <w:rFonts w:asciiTheme="majorBidi" w:hAnsiTheme="majorBidi" w:cstheme="majorBidi"/>
          <w:sz w:val="24"/>
          <w:szCs w:val="24"/>
        </w:rPr>
        <w:t>Yien</w:t>
      </w:r>
      <w:proofErr w:type="spellEnd"/>
      <w:r w:rsidRPr="00E22183">
        <w:rPr>
          <w:rFonts w:asciiTheme="majorBidi" w:hAnsiTheme="majorBidi" w:cstheme="majorBidi"/>
          <w:sz w:val="24"/>
          <w:szCs w:val="24"/>
        </w:rPr>
        <w:t xml:space="preserve">, L. C. (2022). Factors determining housing prices: empirical evidence from a developing country’s Pakistan. </w:t>
      </w:r>
      <w:r w:rsidRPr="00E22183">
        <w:rPr>
          <w:rFonts w:asciiTheme="majorBidi" w:hAnsiTheme="majorBidi" w:cstheme="majorBidi"/>
          <w:i/>
          <w:sz w:val="24"/>
          <w:szCs w:val="24"/>
        </w:rPr>
        <w:t>International Journal of Housing Markets and Analysis</w:t>
      </w:r>
      <w:r w:rsidRPr="00E22183">
        <w:rPr>
          <w:rFonts w:asciiTheme="majorBidi" w:hAnsiTheme="majorBidi" w:cstheme="majorBidi"/>
          <w:sz w:val="24"/>
          <w:szCs w:val="24"/>
        </w:rPr>
        <w:t xml:space="preserve">.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Banner, M. G., White </w:t>
      </w:r>
      <w:proofErr w:type="spellStart"/>
      <w:r w:rsidRPr="00E22183">
        <w:rPr>
          <w:rFonts w:asciiTheme="majorBidi" w:hAnsiTheme="majorBidi" w:cstheme="majorBidi"/>
          <w:sz w:val="24"/>
          <w:szCs w:val="24"/>
        </w:rPr>
        <w:t>Berheide</w:t>
      </w:r>
      <w:proofErr w:type="spellEnd"/>
      <w:r w:rsidRPr="00E22183">
        <w:rPr>
          <w:rFonts w:asciiTheme="majorBidi" w:hAnsiTheme="majorBidi" w:cstheme="majorBidi"/>
          <w:sz w:val="24"/>
          <w:szCs w:val="24"/>
        </w:rPr>
        <w:t xml:space="preserve">, C., &amp; Ross </w:t>
      </w:r>
      <w:proofErr w:type="spellStart"/>
      <w:r w:rsidRPr="00E22183">
        <w:rPr>
          <w:rFonts w:asciiTheme="majorBidi" w:hAnsiTheme="majorBidi" w:cstheme="majorBidi"/>
          <w:sz w:val="24"/>
          <w:szCs w:val="24"/>
        </w:rPr>
        <w:t>Greckel</w:t>
      </w:r>
      <w:proofErr w:type="spellEnd"/>
      <w:r w:rsidRPr="00E22183">
        <w:rPr>
          <w:rFonts w:asciiTheme="majorBidi" w:hAnsiTheme="majorBidi" w:cstheme="majorBidi"/>
          <w:sz w:val="24"/>
          <w:szCs w:val="24"/>
        </w:rPr>
        <w:t xml:space="preserve">, F. (1982). Housing preferences in Louisville: A feminist critique of the suburban environment. </w:t>
      </w:r>
      <w:r w:rsidRPr="00E22183">
        <w:rPr>
          <w:rFonts w:asciiTheme="majorBidi" w:hAnsiTheme="majorBidi" w:cstheme="majorBidi"/>
          <w:i/>
          <w:sz w:val="24"/>
          <w:szCs w:val="24"/>
        </w:rPr>
        <w:t>Housing and Society, 9</w:t>
      </w:r>
      <w:r w:rsidRPr="00E22183">
        <w:rPr>
          <w:rFonts w:asciiTheme="majorBidi" w:hAnsiTheme="majorBidi" w:cstheme="majorBidi"/>
          <w:sz w:val="24"/>
          <w:szCs w:val="24"/>
        </w:rPr>
        <w:t xml:space="preserve">(2), 95-110.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Berglund, J. (2007). Determinants and forecasting of house prices: </w:t>
      </w:r>
      <w:proofErr w:type="spellStart"/>
      <w:r w:rsidRPr="00E22183">
        <w:rPr>
          <w:rFonts w:asciiTheme="majorBidi" w:hAnsiTheme="majorBidi" w:cstheme="majorBidi"/>
          <w:sz w:val="24"/>
          <w:szCs w:val="24"/>
        </w:rPr>
        <w:t>Nationalekonomiska</w:t>
      </w:r>
      <w:proofErr w:type="spellEnd"/>
      <w:r w:rsidRPr="00E22183">
        <w:rPr>
          <w:rFonts w:asciiTheme="majorBidi" w:hAnsiTheme="majorBidi" w:cstheme="majorBidi"/>
          <w:sz w:val="24"/>
          <w:szCs w:val="24"/>
        </w:rPr>
        <w:t xml:space="preserve"> </w:t>
      </w:r>
      <w:proofErr w:type="spellStart"/>
      <w:r w:rsidRPr="00E22183">
        <w:rPr>
          <w:rFonts w:asciiTheme="majorBidi" w:hAnsiTheme="majorBidi" w:cstheme="majorBidi"/>
          <w:sz w:val="24"/>
          <w:szCs w:val="24"/>
        </w:rPr>
        <w:t>institutionen</w:t>
      </w:r>
      <w:proofErr w:type="spellEnd"/>
      <w:r w:rsidRPr="00E22183">
        <w:rPr>
          <w:rFonts w:asciiTheme="majorBidi" w:hAnsiTheme="majorBidi" w:cstheme="majorBidi"/>
          <w:sz w:val="24"/>
          <w:szCs w:val="24"/>
        </w:rPr>
        <w:t>.</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Chang, Y.-S., Yue, Z., Qureshi, M., Rasheed, M. I., Wu, S., &amp; Peng, M. Y.-P. (2022). Residents' waste mobile recycling planned behavior model: the role of environmental concern and risk perception. </w:t>
      </w:r>
      <w:r>
        <w:rPr>
          <w:rFonts w:ascii="Times New Roman" w:hAnsi="Times New Roman" w:cs="Times New Roman"/>
          <w:i/>
          <w:sz w:val="24"/>
          <w:szCs w:val="24"/>
        </w:rPr>
        <w:t>International Journal of Emerging Markets</w:t>
      </w:r>
      <w:r>
        <w:rPr>
          <w:rFonts w:ascii="Times New Roman" w:hAnsi="Times New Roman" w:cs="Times New Roman"/>
          <w:sz w:val="24"/>
          <w:szCs w:val="24"/>
        </w:rPr>
        <w:t xml:space="preserve">(ahead-of-print).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Cellmer</w:t>
      </w:r>
      <w:proofErr w:type="spellEnd"/>
      <w:r w:rsidRPr="00E22183">
        <w:rPr>
          <w:rFonts w:asciiTheme="majorBidi" w:hAnsiTheme="majorBidi" w:cstheme="majorBidi"/>
          <w:sz w:val="24"/>
          <w:szCs w:val="24"/>
        </w:rPr>
        <w:t xml:space="preserve">, R. (2023). Points of Interest and Housing Prices. </w:t>
      </w:r>
      <w:r w:rsidRPr="00E22183">
        <w:rPr>
          <w:rFonts w:asciiTheme="majorBidi" w:hAnsiTheme="majorBidi" w:cstheme="majorBidi"/>
          <w:i/>
          <w:sz w:val="24"/>
          <w:szCs w:val="24"/>
        </w:rPr>
        <w:t>Real Estate Management and Valuation, 31</w:t>
      </w:r>
      <w:r w:rsidRPr="00E22183">
        <w:rPr>
          <w:rFonts w:asciiTheme="majorBidi" w:hAnsiTheme="majorBidi" w:cstheme="majorBidi"/>
          <w:sz w:val="24"/>
          <w:szCs w:val="24"/>
        </w:rPr>
        <w:t xml:space="preserve">(1), 69-77.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Chen, C.-f., de Rubens, G. Z., Noel, L., Kester, J., &amp; </w:t>
      </w:r>
      <w:proofErr w:type="spellStart"/>
      <w:r w:rsidRPr="00E22183">
        <w:rPr>
          <w:rFonts w:asciiTheme="majorBidi" w:hAnsiTheme="majorBidi" w:cstheme="majorBidi"/>
          <w:sz w:val="24"/>
          <w:szCs w:val="24"/>
        </w:rPr>
        <w:t>Sovacool</w:t>
      </w:r>
      <w:proofErr w:type="spellEnd"/>
      <w:r w:rsidRPr="00E22183">
        <w:rPr>
          <w:rFonts w:asciiTheme="majorBidi" w:hAnsiTheme="majorBidi" w:cstheme="majorBidi"/>
          <w:sz w:val="24"/>
          <w:szCs w:val="24"/>
        </w:rPr>
        <w:t xml:space="preserve">, B. K. (2020). Assessing the socio-demographic, technical, economic and behavioral factors of Nordic electric vehicle adoption and the influence of vehicle-to-grid preferences. </w:t>
      </w:r>
      <w:r w:rsidRPr="00E22183">
        <w:rPr>
          <w:rFonts w:asciiTheme="majorBidi" w:hAnsiTheme="majorBidi" w:cstheme="majorBidi"/>
          <w:i/>
          <w:sz w:val="24"/>
          <w:szCs w:val="24"/>
        </w:rPr>
        <w:t>Renewable and Sustainable Energy Reviews, 121</w:t>
      </w:r>
      <w:r w:rsidRPr="00E22183">
        <w:rPr>
          <w:rFonts w:asciiTheme="majorBidi" w:hAnsiTheme="majorBidi" w:cstheme="majorBidi"/>
          <w:sz w:val="24"/>
          <w:szCs w:val="24"/>
        </w:rPr>
        <w:t xml:space="preserve">, 109692.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Chen, Y., Yue, W., &amp; La Rosa, D. (2020). Which communities have better accessibility to green space? An investigation into environmental inequality using big data. </w:t>
      </w:r>
      <w:r w:rsidRPr="00E22183">
        <w:rPr>
          <w:rFonts w:asciiTheme="majorBidi" w:hAnsiTheme="majorBidi" w:cstheme="majorBidi"/>
          <w:i/>
          <w:sz w:val="24"/>
          <w:szCs w:val="24"/>
        </w:rPr>
        <w:t>Landscape and Urban Planning, 204</w:t>
      </w:r>
      <w:r w:rsidRPr="00E22183">
        <w:rPr>
          <w:rFonts w:asciiTheme="majorBidi" w:hAnsiTheme="majorBidi" w:cstheme="majorBidi"/>
          <w:sz w:val="24"/>
          <w:szCs w:val="24"/>
        </w:rPr>
        <w:t xml:space="preserve">, 103919.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Chenyang</w:t>
      </w:r>
      <w:proofErr w:type="spellEnd"/>
      <w:r w:rsidRPr="00E22183">
        <w:rPr>
          <w:rFonts w:asciiTheme="majorBidi" w:hAnsiTheme="majorBidi" w:cstheme="majorBidi"/>
          <w:sz w:val="24"/>
          <w:szCs w:val="24"/>
        </w:rPr>
        <w:t xml:space="preserve">, D., </w:t>
      </w:r>
      <w:proofErr w:type="spellStart"/>
      <w:r w:rsidRPr="00E22183">
        <w:rPr>
          <w:rFonts w:asciiTheme="majorBidi" w:hAnsiTheme="majorBidi" w:cstheme="majorBidi"/>
          <w:sz w:val="24"/>
          <w:szCs w:val="24"/>
        </w:rPr>
        <w:t>Maruthaveeran</w:t>
      </w:r>
      <w:proofErr w:type="spellEnd"/>
      <w:r w:rsidRPr="00E22183">
        <w:rPr>
          <w:rFonts w:asciiTheme="majorBidi" w:hAnsiTheme="majorBidi" w:cstheme="majorBidi"/>
          <w:sz w:val="24"/>
          <w:szCs w:val="24"/>
        </w:rPr>
        <w:t xml:space="preserve">, S., &amp; </w:t>
      </w:r>
      <w:proofErr w:type="spellStart"/>
      <w:r w:rsidRPr="00E22183">
        <w:rPr>
          <w:rFonts w:asciiTheme="majorBidi" w:hAnsiTheme="majorBidi" w:cstheme="majorBidi"/>
          <w:sz w:val="24"/>
          <w:szCs w:val="24"/>
        </w:rPr>
        <w:t>Shahidan</w:t>
      </w:r>
      <w:proofErr w:type="spellEnd"/>
      <w:r w:rsidRPr="00E22183">
        <w:rPr>
          <w:rFonts w:asciiTheme="majorBidi" w:hAnsiTheme="majorBidi" w:cstheme="majorBidi"/>
          <w:sz w:val="24"/>
          <w:szCs w:val="24"/>
        </w:rPr>
        <w:t xml:space="preserve">, M. F. (2022). The usage, constraints and preferences of green space at disadvantage </w:t>
      </w:r>
      <w:proofErr w:type="spellStart"/>
      <w:r w:rsidRPr="00E22183">
        <w:rPr>
          <w:rFonts w:asciiTheme="majorBidi" w:hAnsiTheme="majorBidi" w:cstheme="majorBidi"/>
          <w:sz w:val="24"/>
          <w:szCs w:val="24"/>
        </w:rPr>
        <w:t>neighbourhood</w:t>
      </w:r>
      <w:proofErr w:type="spellEnd"/>
      <w:r w:rsidRPr="00E22183">
        <w:rPr>
          <w:rFonts w:asciiTheme="majorBidi" w:hAnsiTheme="majorBidi" w:cstheme="majorBidi"/>
          <w:sz w:val="24"/>
          <w:szCs w:val="24"/>
        </w:rPr>
        <w:t xml:space="preserve">: A review of empirical evidence. </w:t>
      </w:r>
      <w:r w:rsidRPr="00E22183">
        <w:rPr>
          <w:rFonts w:asciiTheme="majorBidi" w:hAnsiTheme="majorBidi" w:cstheme="majorBidi"/>
          <w:i/>
          <w:sz w:val="24"/>
          <w:szCs w:val="24"/>
        </w:rPr>
        <w:t>Urban Forestry &amp; Urban Greening</w:t>
      </w:r>
      <w:r w:rsidRPr="00E22183">
        <w:rPr>
          <w:rFonts w:asciiTheme="majorBidi" w:hAnsiTheme="majorBidi" w:cstheme="majorBidi"/>
          <w:sz w:val="24"/>
          <w:szCs w:val="24"/>
        </w:rPr>
        <w:t xml:space="preserve">, 127696.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Chow, J. J., </w:t>
      </w:r>
      <w:proofErr w:type="spellStart"/>
      <w:r w:rsidRPr="00E22183">
        <w:rPr>
          <w:rFonts w:asciiTheme="majorBidi" w:hAnsiTheme="majorBidi" w:cstheme="majorBidi"/>
          <w:sz w:val="24"/>
          <w:szCs w:val="24"/>
        </w:rPr>
        <w:t>Beacher</w:t>
      </w:r>
      <w:proofErr w:type="spellEnd"/>
      <w:r w:rsidRPr="00E22183">
        <w:rPr>
          <w:rFonts w:asciiTheme="majorBidi" w:hAnsiTheme="majorBidi" w:cstheme="majorBidi"/>
          <w:sz w:val="24"/>
          <w:szCs w:val="24"/>
        </w:rPr>
        <w:t xml:space="preserve">, N. J., Chabot, J. M., </w:t>
      </w:r>
      <w:proofErr w:type="spellStart"/>
      <w:r w:rsidRPr="00E22183">
        <w:rPr>
          <w:rFonts w:asciiTheme="majorBidi" w:hAnsiTheme="majorBidi" w:cstheme="majorBidi"/>
          <w:sz w:val="24"/>
          <w:szCs w:val="24"/>
        </w:rPr>
        <w:t>Oke</w:t>
      </w:r>
      <w:proofErr w:type="spellEnd"/>
      <w:r w:rsidRPr="00E22183">
        <w:rPr>
          <w:rFonts w:asciiTheme="majorBidi" w:hAnsiTheme="majorBidi" w:cstheme="majorBidi"/>
          <w:sz w:val="24"/>
          <w:szCs w:val="24"/>
        </w:rPr>
        <w:t xml:space="preserve">, M., </w:t>
      </w:r>
      <w:proofErr w:type="spellStart"/>
      <w:r w:rsidRPr="00E22183">
        <w:rPr>
          <w:rFonts w:asciiTheme="majorBidi" w:hAnsiTheme="majorBidi" w:cstheme="majorBidi"/>
          <w:sz w:val="24"/>
          <w:szCs w:val="24"/>
        </w:rPr>
        <w:t>Venniro</w:t>
      </w:r>
      <w:proofErr w:type="spellEnd"/>
      <w:r w:rsidRPr="00E22183">
        <w:rPr>
          <w:rFonts w:asciiTheme="majorBidi" w:hAnsiTheme="majorBidi" w:cstheme="majorBidi"/>
          <w:sz w:val="24"/>
          <w:szCs w:val="24"/>
        </w:rPr>
        <w:t xml:space="preserve">, M., Lin, D.-T., &amp; </w:t>
      </w:r>
      <w:proofErr w:type="spellStart"/>
      <w:r w:rsidRPr="00E22183">
        <w:rPr>
          <w:rFonts w:asciiTheme="majorBidi" w:hAnsiTheme="majorBidi" w:cstheme="majorBidi"/>
          <w:sz w:val="24"/>
          <w:szCs w:val="24"/>
        </w:rPr>
        <w:t>Shaham</w:t>
      </w:r>
      <w:proofErr w:type="spellEnd"/>
      <w:r w:rsidRPr="00E22183">
        <w:rPr>
          <w:rFonts w:asciiTheme="majorBidi" w:hAnsiTheme="majorBidi" w:cstheme="majorBidi"/>
          <w:sz w:val="24"/>
          <w:szCs w:val="24"/>
        </w:rPr>
        <w:t xml:space="preserve">, Y. (2022). Characterization of operant social interaction in rats: effects of access duration, effort, peer familiarity, housing conditions, and choice between social interaction vs. food or remifentanil. </w:t>
      </w:r>
      <w:r w:rsidRPr="00E22183">
        <w:rPr>
          <w:rFonts w:asciiTheme="majorBidi" w:hAnsiTheme="majorBidi" w:cstheme="majorBidi"/>
          <w:i/>
          <w:sz w:val="24"/>
          <w:szCs w:val="24"/>
        </w:rPr>
        <w:t>Psychopharmacology, 239</w:t>
      </w:r>
      <w:r w:rsidRPr="00E22183">
        <w:rPr>
          <w:rFonts w:asciiTheme="majorBidi" w:hAnsiTheme="majorBidi" w:cstheme="majorBidi"/>
          <w:sz w:val="24"/>
          <w:szCs w:val="24"/>
        </w:rPr>
        <w:t xml:space="preserve">(7), 2093-2108.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lastRenderedPageBreak/>
        <w:t xml:space="preserve">Christensen, P., &amp; Timmins, C. (2022). Sorting or steering: The effects of housing discrimination on neighborhood choice. </w:t>
      </w:r>
      <w:r w:rsidRPr="00E22183">
        <w:rPr>
          <w:rFonts w:asciiTheme="majorBidi" w:hAnsiTheme="majorBidi" w:cstheme="majorBidi"/>
          <w:i/>
          <w:sz w:val="24"/>
          <w:szCs w:val="24"/>
        </w:rPr>
        <w:t>Journal of Political Economy, 130</w:t>
      </w:r>
      <w:r w:rsidRPr="00E22183">
        <w:rPr>
          <w:rFonts w:asciiTheme="majorBidi" w:hAnsiTheme="majorBidi" w:cstheme="majorBidi"/>
          <w:sz w:val="24"/>
          <w:szCs w:val="24"/>
        </w:rPr>
        <w:t xml:space="preserve">(8), 2110-2163.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Chuah</w:t>
      </w:r>
      <w:proofErr w:type="spellEnd"/>
      <w:r w:rsidRPr="00E22183">
        <w:rPr>
          <w:rFonts w:asciiTheme="majorBidi" w:hAnsiTheme="majorBidi" w:cstheme="majorBidi"/>
          <w:sz w:val="24"/>
          <w:szCs w:val="24"/>
        </w:rPr>
        <w:t xml:space="preserve">, S.-C., </w:t>
      </w:r>
      <w:proofErr w:type="spellStart"/>
      <w:r w:rsidRPr="00E22183">
        <w:rPr>
          <w:rFonts w:asciiTheme="majorBidi" w:hAnsiTheme="majorBidi" w:cstheme="majorBidi"/>
          <w:sz w:val="24"/>
          <w:szCs w:val="24"/>
        </w:rPr>
        <w:t>Kamaruddin</w:t>
      </w:r>
      <w:proofErr w:type="spellEnd"/>
      <w:r w:rsidRPr="00E22183">
        <w:rPr>
          <w:rFonts w:asciiTheme="majorBidi" w:hAnsiTheme="majorBidi" w:cstheme="majorBidi"/>
          <w:sz w:val="24"/>
          <w:szCs w:val="24"/>
        </w:rPr>
        <w:t xml:space="preserve">, J. N., &amp; Singh, J. K. (2020). Factors affecting financial management </w:t>
      </w:r>
      <w:proofErr w:type="spellStart"/>
      <w:r w:rsidRPr="00E22183">
        <w:rPr>
          <w:rFonts w:asciiTheme="majorBidi" w:hAnsiTheme="majorBidi" w:cstheme="majorBidi"/>
          <w:sz w:val="24"/>
          <w:szCs w:val="24"/>
        </w:rPr>
        <w:t>behaviour</w:t>
      </w:r>
      <w:proofErr w:type="spellEnd"/>
      <w:r w:rsidRPr="00E22183">
        <w:rPr>
          <w:rFonts w:asciiTheme="majorBidi" w:hAnsiTheme="majorBidi" w:cstheme="majorBidi"/>
          <w:sz w:val="24"/>
          <w:szCs w:val="24"/>
        </w:rPr>
        <w:t xml:space="preserve"> among university students. </w:t>
      </w:r>
      <w:r w:rsidRPr="00E22183">
        <w:rPr>
          <w:rFonts w:asciiTheme="majorBidi" w:hAnsiTheme="majorBidi" w:cstheme="majorBidi"/>
          <w:i/>
          <w:sz w:val="24"/>
          <w:szCs w:val="24"/>
        </w:rPr>
        <w:t>Malaysian Journal of Consumer and Family Economics, 25</w:t>
      </w:r>
      <w:r w:rsidRPr="00E22183">
        <w:rPr>
          <w:rFonts w:asciiTheme="majorBidi" w:hAnsiTheme="majorBidi" w:cstheme="majorBidi"/>
          <w:sz w:val="24"/>
          <w:szCs w:val="24"/>
        </w:rPr>
        <w:t xml:space="preserve">, 154-174.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Daniel, L., Baker, E., &amp; Williamson, T. (2019). Cold housing in mild-climate countries: A study of indoor environmental quality and comfort preferences in homes, Adelaide, Australia. </w:t>
      </w:r>
      <w:r w:rsidRPr="00E22183">
        <w:rPr>
          <w:rFonts w:asciiTheme="majorBidi" w:hAnsiTheme="majorBidi" w:cstheme="majorBidi"/>
          <w:i/>
          <w:sz w:val="24"/>
          <w:szCs w:val="24"/>
        </w:rPr>
        <w:t>Building and Environment, 151</w:t>
      </w:r>
      <w:r w:rsidRPr="00E22183">
        <w:rPr>
          <w:rFonts w:asciiTheme="majorBidi" w:hAnsiTheme="majorBidi" w:cstheme="majorBidi"/>
          <w:sz w:val="24"/>
          <w:szCs w:val="24"/>
        </w:rPr>
        <w:t xml:space="preserve">, 207-218.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Delventhal</w:t>
      </w:r>
      <w:proofErr w:type="spellEnd"/>
      <w:r w:rsidRPr="00E22183">
        <w:rPr>
          <w:rFonts w:asciiTheme="majorBidi" w:hAnsiTheme="majorBidi" w:cstheme="majorBidi"/>
          <w:sz w:val="24"/>
          <w:szCs w:val="24"/>
        </w:rPr>
        <w:t xml:space="preserve">, M. J., Kwon, E., &amp; </w:t>
      </w:r>
      <w:proofErr w:type="spellStart"/>
      <w:r w:rsidRPr="00E22183">
        <w:rPr>
          <w:rFonts w:asciiTheme="majorBidi" w:hAnsiTheme="majorBidi" w:cstheme="majorBidi"/>
          <w:sz w:val="24"/>
          <w:szCs w:val="24"/>
        </w:rPr>
        <w:t>Parkhomenko</w:t>
      </w:r>
      <w:proofErr w:type="spellEnd"/>
      <w:r w:rsidRPr="00E22183">
        <w:rPr>
          <w:rFonts w:asciiTheme="majorBidi" w:hAnsiTheme="majorBidi" w:cstheme="majorBidi"/>
          <w:sz w:val="24"/>
          <w:szCs w:val="24"/>
        </w:rPr>
        <w:t xml:space="preserve">, A. (2022). JUE Insight: How do cities change when we work from home? </w:t>
      </w:r>
      <w:r w:rsidRPr="00E22183">
        <w:rPr>
          <w:rFonts w:asciiTheme="majorBidi" w:hAnsiTheme="majorBidi" w:cstheme="majorBidi"/>
          <w:i/>
          <w:sz w:val="24"/>
          <w:szCs w:val="24"/>
        </w:rPr>
        <w:t>Journal of Urban Economics, 127</w:t>
      </w:r>
      <w:r w:rsidRPr="00E22183">
        <w:rPr>
          <w:rFonts w:asciiTheme="majorBidi" w:hAnsiTheme="majorBidi" w:cstheme="majorBidi"/>
          <w:sz w:val="24"/>
          <w:szCs w:val="24"/>
        </w:rPr>
        <w:t xml:space="preserve">, 103331.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Elsinga</w:t>
      </w:r>
      <w:proofErr w:type="spellEnd"/>
      <w:r w:rsidRPr="00E22183">
        <w:rPr>
          <w:rFonts w:asciiTheme="majorBidi" w:hAnsiTheme="majorBidi" w:cstheme="majorBidi"/>
          <w:sz w:val="24"/>
          <w:szCs w:val="24"/>
        </w:rPr>
        <w:t xml:space="preserve">, M., Hoekstra, J., </w:t>
      </w:r>
      <w:proofErr w:type="spellStart"/>
      <w:r w:rsidRPr="00E22183">
        <w:rPr>
          <w:rFonts w:asciiTheme="majorBidi" w:hAnsiTheme="majorBidi" w:cstheme="majorBidi"/>
          <w:sz w:val="24"/>
          <w:szCs w:val="24"/>
        </w:rPr>
        <w:t>Sedighi</w:t>
      </w:r>
      <w:proofErr w:type="spellEnd"/>
      <w:r w:rsidRPr="00E22183">
        <w:rPr>
          <w:rFonts w:asciiTheme="majorBidi" w:hAnsiTheme="majorBidi" w:cstheme="majorBidi"/>
          <w:sz w:val="24"/>
          <w:szCs w:val="24"/>
        </w:rPr>
        <w:t xml:space="preserve">, M., &amp; </w:t>
      </w:r>
      <w:proofErr w:type="spellStart"/>
      <w:r w:rsidRPr="00E22183">
        <w:rPr>
          <w:rFonts w:asciiTheme="majorBidi" w:hAnsiTheme="majorBidi" w:cstheme="majorBidi"/>
          <w:sz w:val="24"/>
          <w:szCs w:val="24"/>
        </w:rPr>
        <w:t>Taebi</w:t>
      </w:r>
      <w:proofErr w:type="spellEnd"/>
      <w:r w:rsidRPr="00E22183">
        <w:rPr>
          <w:rFonts w:asciiTheme="majorBidi" w:hAnsiTheme="majorBidi" w:cstheme="majorBidi"/>
          <w:sz w:val="24"/>
          <w:szCs w:val="24"/>
        </w:rPr>
        <w:t xml:space="preserve">, B. (2020). Toward sustainable and inclusive housing: Underpinning housing policy as design for values. </w:t>
      </w:r>
      <w:r w:rsidRPr="00E22183">
        <w:rPr>
          <w:rFonts w:asciiTheme="majorBidi" w:hAnsiTheme="majorBidi" w:cstheme="majorBidi"/>
          <w:i/>
          <w:sz w:val="24"/>
          <w:szCs w:val="24"/>
        </w:rPr>
        <w:t>Sustainability, 12</w:t>
      </w:r>
      <w:r w:rsidRPr="00E22183">
        <w:rPr>
          <w:rFonts w:asciiTheme="majorBidi" w:hAnsiTheme="majorBidi" w:cstheme="majorBidi"/>
          <w:sz w:val="24"/>
          <w:szCs w:val="24"/>
        </w:rPr>
        <w:t xml:space="preserve">(5), 1920.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Farraz</w:t>
      </w:r>
      <w:proofErr w:type="spellEnd"/>
      <w:r w:rsidRPr="00E22183">
        <w:rPr>
          <w:rFonts w:asciiTheme="majorBidi" w:hAnsiTheme="majorBidi" w:cstheme="majorBidi"/>
          <w:sz w:val="24"/>
          <w:szCs w:val="24"/>
        </w:rPr>
        <w:t xml:space="preserve">, M., &amp; </w:t>
      </w:r>
      <w:proofErr w:type="spellStart"/>
      <w:r w:rsidRPr="00E22183">
        <w:rPr>
          <w:rFonts w:asciiTheme="majorBidi" w:hAnsiTheme="majorBidi" w:cstheme="majorBidi"/>
          <w:sz w:val="24"/>
          <w:szCs w:val="24"/>
        </w:rPr>
        <w:t>Barus</w:t>
      </w:r>
      <w:proofErr w:type="spellEnd"/>
      <w:r w:rsidRPr="00E22183">
        <w:rPr>
          <w:rFonts w:asciiTheme="majorBidi" w:hAnsiTheme="majorBidi" w:cstheme="majorBidi"/>
          <w:sz w:val="24"/>
          <w:szCs w:val="24"/>
        </w:rPr>
        <w:t xml:space="preserve">, L. (2019). </w:t>
      </w:r>
      <w:r w:rsidRPr="00E22183">
        <w:rPr>
          <w:rFonts w:asciiTheme="majorBidi" w:hAnsiTheme="majorBidi" w:cstheme="majorBidi"/>
          <w:i/>
          <w:sz w:val="24"/>
          <w:szCs w:val="24"/>
        </w:rPr>
        <w:t>Housing Preferences and Choice Young Families Commuters in Depok City, Indonesia.</w:t>
      </w:r>
      <w:r w:rsidRPr="00E22183">
        <w:rPr>
          <w:rFonts w:asciiTheme="majorBidi" w:hAnsiTheme="majorBidi" w:cstheme="majorBidi"/>
          <w:sz w:val="24"/>
          <w:szCs w:val="24"/>
        </w:rPr>
        <w:t xml:space="preserve"> Paper presented at the IOP Conference Series: Earth and Environmental Science.</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Foegeding</w:t>
      </w:r>
      <w:proofErr w:type="spellEnd"/>
      <w:r w:rsidRPr="00E22183">
        <w:rPr>
          <w:rFonts w:asciiTheme="majorBidi" w:hAnsiTheme="majorBidi" w:cstheme="majorBidi"/>
          <w:sz w:val="24"/>
          <w:szCs w:val="24"/>
        </w:rPr>
        <w:t xml:space="preserve">, E. A., Luck, P., &amp; Davis, J. P. (2006). Factors determining the physical properties of protein foams. </w:t>
      </w:r>
      <w:r w:rsidRPr="00E22183">
        <w:rPr>
          <w:rFonts w:asciiTheme="majorBidi" w:hAnsiTheme="majorBidi" w:cstheme="majorBidi"/>
          <w:i/>
          <w:sz w:val="24"/>
          <w:szCs w:val="24"/>
        </w:rPr>
        <w:t>Food hydrocolloids, 20</w:t>
      </w:r>
      <w:r w:rsidRPr="00E22183">
        <w:rPr>
          <w:rFonts w:asciiTheme="majorBidi" w:hAnsiTheme="majorBidi" w:cstheme="majorBidi"/>
          <w:sz w:val="24"/>
          <w:szCs w:val="24"/>
        </w:rPr>
        <w:t xml:space="preserve">(2-3), 284-292.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Fornell</w:t>
      </w:r>
      <w:proofErr w:type="spellEnd"/>
      <w:r w:rsidRPr="00E22183">
        <w:rPr>
          <w:rFonts w:asciiTheme="majorBidi" w:hAnsiTheme="majorBidi" w:cstheme="majorBidi"/>
          <w:sz w:val="24"/>
          <w:szCs w:val="24"/>
        </w:rPr>
        <w:t xml:space="preserve">, C., &amp; </w:t>
      </w:r>
      <w:proofErr w:type="spellStart"/>
      <w:r w:rsidRPr="00E22183">
        <w:rPr>
          <w:rFonts w:asciiTheme="majorBidi" w:hAnsiTheme="majorBidi" w:cstheme="majorBidi"/>
          <w:sz w:val="24"/>
          <w:szCs w:val="24"/>
        </w:rPr>
        <w:t>Larcker</w:t>
      </w:r>
      <w:proofErr w:type="spellEnd"/>
      <w:r w:rsidRPr="00E22183">
        <w:rPr>
          <w:rFonts w:asciiTheme="majorBidi" w:hAnsiTheme="majorBidi" w:cstheme="majorBidi"/>
          <w:sz w:val="24"/>
          <w:szCs w:val="24"/>
        </w:rPr>
        <w:t xml:space="preserve">, D. F. (1981). Evaluating structural equation models with unobservable variables and measurement error. </w:t>
      </w:r>
      <w:r w:rsidRPr="00E22183">
        <w:rPr>
          <w:rFonts w:asciiTheme="majorBidi" w:hAnsiTheme="majorBidi" w:cstheme="majorBidi"/>
          <w:i/>
          <w:sz w:val="24"/>
          <w:szCs w:val="24"/>
        </w:rPr>
        <w:t>Journal of marketing research, 18</w:t>
      </w:r>
      <w:r w:rsidRPr="00E22183">
        <w:rPr>
          <w:rFonts w:asciiTheme="majorBidi" w:hAnsiTheme="majorBidi" w:cstheme="majorBidi"/>
          <w:sz w:val="24"/>
          <w:szCs w:val="24"/>
        </w:rPr>
        <w:t xml:space="preserve">, 39-50.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Gibson, A., Pope, N., Loeffler, D., Ratliff, S., &amp; Engelhardt, E. (2023). Identifying aging adults’ housing preferences: An age-friendly initiative. </w:t>
      </w:r>
      <w:r w:rsidRPr="00E22183">
        <w:rPr>
          <w:rFonts w:asciiTheme="majorBidi" w:hAnsiTheme="majorBidi" w:cstheme="majorBidi"/>
          <w:i/>
          <w:sz w:val="24"/>
          <w:szCs w:val="24"/>
        </w:rPr>
        <w:t>Journal of Gerontological Social Work, 66</w:t>
      </w:r>
      <w:r w:rsidRPr="00E22183">
        <w:rPr>
          <w:rFonts w:asciiTheme="majorBidi" w:hAnsiTheme="majorBidi" w:cstheme="majorBidi"/>
          <w:sz w:val="24"/>
          <w:szCs w:val="24"/>
        </w:rPr>
        <w:t xml:space="preserve">(1), 43-63.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Hair, J., Hollingsworth, C. L., Randolph, A. B., &amp; Chong, A. Y. L. (2017). An updated and expanded assessment of PLS-SEM in information systems research. </w:t>
      </w:r>
      <w:r w:rsidRPr="00E22183">
        <w:rPr>
          <w:rFonts w:asciiTheme="majorBidi" w:hAnsiTheme="majorBidi" w:cstheme="majorBidi"/>
          <w:i/>
          <w:sz w:val="24"/>
          <w:szCs w:val="24"/>
        </w:rPr>
        <w:t>Industrial Management &amp; Data Systems, 117</w:t>
      </w:r>
      <w:r w:rsidRPr="00E22183">
        <w:rPr>
          <w:rFonts w:asciiTheme="majorBidi" w:hAnsiTheme="majorBidi" w:cstheme="majorBidi"/>
          <w:sz w:val="24"/>
          <w:szCs w:val="24"/>
        </w:rPr>
        <w:t xml:space="preserve">(3), 442-458.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Hair, J. F., </w:t>
      </w:r>
      <w:proofErr w:type="spellStart"/>
      <w:r w:rsidRPr="00E22183">
        <w:rPr>
          <w:rFonts w:asciiTheme="majorBidi" w:hAnsiTheme="majorBidi" w:cstheme="majorBidi"/>
          <w:sz w:val="24"/>
          <w:szCs w:val="24"/>
        </w:rPr>
        <w:t>Ringle</w:t>
      </w:r>
      <w:proofErr w:type="spellEnd"/>
      <w:r w:rsidRPr="00E22183">
        <w:rPr>
          <w:rFonts w:asciiTheme="majorBidi" w:hAnsiTheme="majorBidi" w:cstheme="majorBidi"/>
          <w:sz w:val="24"/>
          <w:szCs w:val="24"/>
        </w:rPr>
        <w:t xml:space="preserve">, C. M., &amp; </w:t>
      </w:r>
      <w:proofErr w:type="spellStart"/>
      <w:r w:rsidRPr="00E22183">
        <w:rPr>
          <w:rFonts w:asciiTheme="majorBidi" w:hAnsiTheme="majorBidi" w:cstheme="majorBidi"/>
          <w:sz w:val="24"/>
          <w:szCs w:val="24"/>
        </w:rPr>
        <w:t>Sarstedt</w:t>
      </w:r>
      <w:proofErr w:type="spellEnd"/>
      <w:r w:rsidRPr="00E22183">
        <w:rPr>
          <w:rFonts w:asciiTheme="majorBidi" w:hAnsiTheme="majorBidi" w:cstheme="majorBidi"/>
          <w:sz w:val="24"/>
          <w:szCs w:val="24"/>
        </w:rPr>
        <w:t xml:space="preserve">, M. (2011). PLS-SEM: Indeed a silver bullet. </w:t>
      </w:r>
      <w:r w:rsidRPr="00E22183">
        <w:rPr>
          <w:rFonts w:asciiTheme="majorBidi" w:hAnsiTheme="majorBidi" w:cstheme="majorBidi"/>
          <w:i/>
          <w:sz w:val="24"/>
          <w:szCs w:val="24"/>
        </w:rPr>
        <w:t>Journal of Marketing theory and Practice, 19</w:t>
      </w:r>
      <w:r w:rsidRPr="00E22183">
        <w:rPr>
          <w:rFonts w:asciiTheme="majorBidi" w:hAnsiTheme="majorBidi" w:cstheme="majorBidi"/>
          <w:sz w:val="24"/>
          <w:szCs w:val="24"/>
        </w:rPr>
        <w:t xml:space="preserve">(2), 139-152.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Hair, J. F., </w:t>
      </w:r>
      <w:proofErr w:type="spellStart"/>
      <w:r w:rsidRPr="00E22183">
        <w:rPr>
          <w:rFonts w:asciiTheme="majorBidi" w:hAnsiTheme="majorBidi" w:cstheme="majorBidi"/>
          <w:sz w:val="24"/>
          <w:szCs w:val="24"/>
        </w:rPr>
        <w:t>Risher</w:t>
      </w:r>
      <w:proofErr w:type="spellEnd"/>
      <w:r w:rsidRPr="00E22183">
        <w:rPr>
          <w:rFonts w:asciiTheme="majorBidi" w:hAnsiTheme="majorBidi" w:cstheme="majorBidi"/>
          <w:sz w:val="24"/>
          <w:szCs w:val="24"/>
        </w:rPr>
        <w:t xml:space="preserve">, J. J., </w:t>
      </w:r>
      <w:proofErr w:type="spellStart"/>
      <w:r w:rsidRPr="00E22183">
        <w:rPr>
          <w:rFonts w:asciiTheme="majorBidi" w:hAnsiTheme="majorBidi" w:cstheme="majorBidi"/>
          <w:sz w:val="24"/>
          <w:szCs w:val="24"/>
        </w:rPr>
        <w:t>Sarstedt</w:t>
      </w:r>
      <w:proofErr w:type="spellEnd"/>
      <w:r w:rsidRPr="00E22183">
        <w:rPr>
          <w:rFonts w:asciiTheme="majorBidi" w:hAnsiTheme="majorBidi" w:cstheme="majorBidi"/>
          <w:sz w:val="24"/>
          <w:szCs w:val="24"/>
        </w:rPr>
        <w:t xml:space="preserve">, M., &amp; </w:t>
      </w:r>
      <w:proofErr w:type="spellStart"/>
      <w:r w:rsidRPr="00E22183">
        <w:rPr>
          <w:rFonts w:asciiTheme="majorBidi" w:hAnsiTheme="majorBidi" w:cstheme="majorBidi"/>
          <w:sz w:val="24"/>
          <w:szCs w:val="24"/>
        </w:rPr>
        <w:t>Ringle</w:t>
      </w:r>
      <w:proofErr w:type="spellEnd"/>
      <w:r w:rsidRPr="00E22183">
        <w:rPr>
          <w:rFonts w:asciiTheme="majorBidi" w:hAnsiTheme="majorBidi" w:cstheme="majorBidi"/>
          <w:sz w:val="24"/>
          <w:szCs w:val="24"/>
        </w:rPr>
        <w:t xml:space="preserve">, C. M. (2019). When to use and how to report the results of PLS-SEM. </w:t>
      </w:r>
      <w:r w:rsidRPr="00E22183">
        <w:rPr>
          <w:rFonts w:asciiTheme="majorBidi" w:hAnsiTheme="majorBidi" w:cstheme="majorBidi"/>
          <w:i/>
          <w:sz w:val="24"/>
          <w:szCs w:val="24"/>
        </w:rPr>
        <w:t>European Business Review, 31</w:t>
      </w:r>
      <w:r w:rsidRPr="00E22183">
        <w:rPr>
          <w:rFonts w:asciiTheme="majorBidi" w:hAnsiTheme="majorBidi" w:cstheme="majorBidi"/>
          <w:sz w:val="24"/>
          <w:szCs w:val="24"/>
        </w:rPr>
        <w:t xml:space="preserve">(1), 2-24. </w:t>
      </w:r>
    </w:p>
    <w:p w:rsidR="002A7083" w:rsidRDefault="002A7083" w:rsidP="002A7083">
      <w:pPr>
        <w:spacing w:after="0"/>
        <w:ind w:left="709" w:hanging="709"/>
        <w:jc w:val="both"/>
        <w:rPr>
          <w:rFonts w:asciiTheme="majorBidi" w:hAnsiTheme="majorBidi" w:cstheme="majorBidi"/>
          <w:sz w:val="24"/>
          <w:szCs w:val="24"/>
        </w:rPr>
      </w:pPr>
      <w:r w:rsidRPr="002A7083">
        <w:rPr>
          <w:rFonts w:asciiTheme="majorBidi" w:hAnsiTheme="majorBidi" w:cstheme="majorBidi"/>
          <w:sz w:val="24"/>
          <w:szCs w:val="24"/>
        </w:rPr>
        <w:t>Hameed, Z., Naeem, R. M., Hassan, M., Naeem, M., Nazim, M., &amp; Maqbool, A. (2022). How GHRM is related to green creativity? A moderated mediation model of green transformational leadership and green perceived organizational support. </w:t>
      </w:r>
      <w:r w:rsidRPr="002A7083">
        <w:rPr>
          <w:rFonts w:asciiTheme="majorBidi" w:hAnsiTheme="majorBidi" w:cstheme="majorBidi"/>
          <w:i/>
          <w:iCs/>
          <w:sz w:val="24"/>
          <w:szCs w:val="24"/>
        </w:rPr>
        <w:t>International Journal of Manpower</w:t>
      </w:r>
      <w:r w:rsidRPr="002A7083">
        <w:rPr>
          <w:rFonts w:asciiTheme="majorBidi" w:hAnsiTheme="majorBidi" w:cstheme="majorBidi"/>
          <w:sz w:val="24"/>
          <w:szCs w:val="24"/>
        </w:rPr>
        <w:t>, </w:t>
      </w:r>
      <w:r w:rsidRPr="002A7083">
        <w:rPr>
          <w:rFonts w:asciiTheme="majorBidi" w:hAnsiTheme="majorBidi" w:cstheme="majorBidi"/>
          <w:i/>
          <w:iCs/>
          <w:sz w:val="24"/>
          <w:szCs w:val="24"/>
        </w:rPr>
        <w:t>43</w:t>
      </w:r>
      <w:r w:rsidRPr="002A7083">
        <w:rPr>
          <w:rFonts w:asciiTheme="majorBidi" w:hAnsiTheme="majorBidi" w:cstheme="majorBidi"/>
          <w:sz w:val="24"/>
          <w:szCs w:val="24"/>
        </w:rPr>
        <w:t>(3), 595-613.</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Huang, Y., Lieske, S. N., Wang, S., &amp; Liu, Y. (2023). How does heterogeneity in dwelling type preferences relate to housing and built environment characteristics? </w:t>
      </w:r>
      <w:r w:rsidRPr="00E22183">
        <w:rPr>
          <w:rFonts w:asciiTheme="majorBidi" w:hAnsiTheme="majorBidi" w:cstheme="majorBidi"/>
          <w:i/>
          <w:sz w:val="24"/>
          <w:szCs w:val="24"/>
        </w:rPr>
        <w:t>International Journal of Digital Earth, 16</w:t>
      </w:r>
      <w:r w:rsidRPr="00E22183">
        <w:rPr>
          <w:rFonts w:asciiTheme="majorBidi" w:hAnsiTheme="majorBidi" w:cstheme="majorBidi"/>
          <w:sz w:val="24"/>
          <w:szCs w:val="24"/>
        </w:rPr>
        <w:t xml:space="preserve">(1), 93-112. </w:t>
      </w:r>
    </w:p>
    <w:p w:rsid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Husain, T., </w:t>
      </w:r>
      <w:proofErr w:type="spellStart"/>
      <w:r w:rsidRPr="00E22183">
        <w:rPr>
          <w:rFonts w:asciiTheme="majorBidi" w:hAnsiTheme="majorBidi" w:cstheme="majorBidi"/>
          <w:sz w:val="24"/>
          <w:szCs w:val="24"/>
        </w:rPr>
        <w:t>Ardhiansyah</w:t>
      </w:r>
      <w:proofErr w:type="spellEnd"/>
      <w:r w:rsidRPr="00E22183">
        <w:rPr>
          <w:rFonts w:asciiTheme="majorBidi" w:hAnsiTheme="majorBidi" w:cstheme="majorBidi"/>
          <w:sz w:val="24"/>
          <w:szCs w:val="24"/>
        </w:rPr>
        <w:t xml:space="preserve">, M., &amp; </w:t>
      </w:r>
      <w:proofErr w:type="spellStart"/>
      <w:r w:rsidRPr="00E22183">
        <w:rPr>
          <w:rFonts w:asciiTheme="majorBidi" w:hAnsiTheme="majorBidi" w:cstheme="majorBidi"/>
          <w:sz w:val="24"/>
          <w:szCs w:val="24"/>
        </w:rPr>
        <w:t>Fathudin</w:t>
      </w:r>
      <w:proofErr w:type="spellEnd"/>
      <w:r w:rsidRPr="00E22183">
        <w:rPr>
          <w:rFonts w:asciiTheme="majorBidi" w:hAnsiTheme="majorBidi" w:cstheme="majorBidi"/>
          <w:sz w:val="24"/>
          <w:szCs w:val="24"/>
        </w:rPr>
        <w:t xml:space="preserve">, D. (2021). Confirmatory factor analysis: Model testing of financial ratio's with decision support systems approach. </w:t>
      </w:r>
      <w:r w:rsidRPr="00E22183">
        <w:rPr>
          <w:rFonts w:asciiTheme="majorBidi" w:hAnsiTheme="majorBidi" w:cstheme="majorBidi"/>
          <w:i/>
          <w:sz w:val="24"/>
          <w:szCs w:val="24"/>
        </w:rPr>
        <w:t>International Journal of Advances in Applied Sciences (IJAAS), 10</w:t>
      </w:r>
      <w:r w:rsidRPr="00E22183">
        <w:rPr>
          <w:rFonts w:asciiTheme="majorBidi" w:hAnsiTheme="majorBidi" w:cstheme="majorBidi"/>
          <w:sz w:val="24"/>
          <w:szCs w:val="24"/>
        </w:rPr>
        <w:t xml:space="preserve">(2), 115-121.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Iqbal, J., Yu, D., Zubair, M., Rasheed, M. I., Khizar, H. M. U., &amp; Imran, M. (2021). Health consciousness, food safety concern, and consumer purchase intentions toward organic food: The role of consumer involvement and ecological motives. </w:t>
      </w:r>
      <w:r>
        <w:rPr>
          <w:rFonts w:ascii="Times New Roman" w:hAnsi="Times New Roman" w:cs="Times New Roman"/>
          <w:i/>
          <w:sz w:val="24"/>
          <w:szCs w:val="24"/>
        </w:rPr>
        <w:t>Sage Open, 11</w:t>
      </w:r>
      <w:r>
        <w:rPr>
          <w:rFonts w:ascii="Times New Roman" w:hAnsi="Times New Roman" w:cs="Times New Roman"/>
          <w:sz w:val="24"/>
          <w:szCs w:val="24"/>
        </w:rPr>
        <w:t xml:space="preserve">(2), 21582440211015727.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Jabareen</w:t>
      </w:r>
      <w:proofErr w:type="spellEnd"/>
      <w:r w:rsidRPr="00E22183">
        <w:rPr>
          <w:rFonts w:asciiTheme="majorBidi" w:hAnsiTheme="majorBidi" w:cstheme="majorBidi"/>
          <w:sz w:val="24"/>
          <w:szCs w:val="24"/>
        </w:rPr>
        <w:t xml:space="preserve">, Y. (2005). Culture and housing preferences in a developing city. </w:t>
      </w:r>
      <w:r w:rsidRPr="00E22183">
        <w:rPr>
          <w:rFonts w:asciiTheme="majorBidi" w:hAnsiTheme="majorBidi" w:cstheme="majorBidi"/>
          <w:i/>
          <w:sz w:val="24"/>
          <w:szCs w:val="24"/>
        </w:rPr>
        <w:t>Environment and behavior, 37</w:t>
      </w:r>
      <w:r w:rsidRPr="00E22183">
        <w:rPr>
          <w:rFonts w:asciiTheme="majorBidi" w:hAnsiTheme="majorBidi" w:cstheme="majorBidi"/>
          <w:sz w:val="24"/>
          <w:szCs w:val="24"/>
        </w:rPr>
        <w:t xml:space="preserve">(1), 134-146.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Jansen, S. J. (2020). Urban, suburban or rural? Understanding preferences for the residential environment. </w:t>
      </w:r>
      <w:r w:rsidRPr="00E22183">
        <w:rPr>
          <w:rFonts w:asciiTheme="majorBidi" w:hAnsiTheme="majorBidi" w:cstheme="majorBidi"/>
          <w:i/>
          <w:sz w:val="24"/>
          <w:szCs w:val="24"/>
        </w:rPr>
        <w:t>Journal of Urbanism: International Research on Placemaking and Urban Sustainability, 13</w:t>
      </w:r>
      <w:r w:rsidRPr="00E22183">
        <w:rPr>
          <w:rFonts w:asciiTheme="majorBidi" w:hAnsiTheme="majorBidi" w:cstheme="majorBidi"/>
          <w:sz w:val="24"/>
          <w:szCs w:val="24"/>
        </w:rPr>
        <w:t xml:space="preserve">(2), 213-235.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Jia, J., Zhang, X., Huang, C., &amp; Luan, H. (2022). Multiscale analysis of human social sensing of urban appearance and its effects on house price appreciation in Wuhan, China. </w:t>
      </w:r>
      <w:r w:rsidRPr="00E22183">
        <w:rPr>
          <w:rFonts w:asciiTheme="majorBidi" w:hAnsiTheme="majorBidi" w:cstheme="majorBidi"/>
          <w:i/>
          <w:sz w:val="24"/>
          <w:szCs w:val="24"/>
        </w:rPr>
        <w:t>Sustainable Cities and Society, 81</w:t>
      </w:r>
      <w:r w:rsidRPr="00E22183">
        <w:rPr>
          <w:rFonts w:asciiTheme="majorBidi" w:hAnsiTheme="majorBidi" w:cstheme="majorBidi"/>
          <w:sz w:val="24"/>
          <w:szCs w:val="24"/>
        </w:rPr>
        <w:t xml:space="preserve">, 103844.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Kanwal, S., Chong, R., &amp; </w:t>
      </w:r>
      <w:proofErr w:type="spellStart"/>
      <w:r w:rsidRPr="00E22183">
        <w:rPr>
          <w:rFonts w:asciiTheme="majorBidi" w:hAnsiTheme="majorBidi" w:cstheme="majorBidi"/>
          <w:sz w:val="24"/>
          <w:szCs w:val="24"/>
        </w:rPr>
        <w:t>Pitafi</w:t>
      </w:r>
      <w:proofErr w:type="spellEnd"/>
      <w:r w:rsidRPr="00E22183">
        <w:rPr>
          <w:rFonts w:asciiTheme="majorBidi" w:hAnsiTheme="majorBidi" w:cstheme="majorBidi"/>
          <w:sz w:val="24"/>
          <w:szCs w:val="24"/>
        </w:rPr>
        <w:t xml:space="preserve">, A. H. (2019a). China–Pakistan economic corridor projects development in Pakistan: Local citizens benefits perspective. </w:t>
      </w:r>
      <w:r w:rsidRPr="00E22183">
        <w:rPr>
          <w:rFonts w:asciiTheme="majorBidi" w:hAnsiTheme="majorBidi" w:cstheme="majorBidi"/>
          <w:i/>
          <w:sz w:val="24"/>
          <w:szCs w:val="24"/>
        </w:rPr>
        <w:t>Journal of Public Affairs, 19</w:t>
      </w:r>
      <w:r w:rsidRPr="00E22183">
        <w:rPr>
          <w:rFonts w:asciiTheme="majorBidi" w:hAnsiTheme="majorBidi" w:cstheme="majorBidi"/>
          <w:sz w:val="24"/>
          <w:szCs w:val="24"/>
        </w:rPr>
        <w:t xml:space="preserve">(1), 12.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Kanwal, S., Chong, R., &amp; </w:t>
      </w:r>
      <w:proofErr w:type="spellStart"/>
      <w:r w:rsidRPr="00E22183">
        <w:rPr>
          <w:rFonts w:asciiTheme="majorBidi" w:hAnsiTheme="majorBidi" w:cstheme="majorBidi"/>
          <w:sz w:val="24"/>
          <w:szCs w:val="24"/>
        </w:rPr>
        <w:t>Pitafi</w:t>
      </w:r>
      <w:proofErr w:type="spellEnd"/>
      <w:r w:rsidRPr="00E22183">
        <w:rPr>
          <w:rFonts w:asciiTheme="majorBidi" w:hAnsiTheme="majorBidi" w:cstheme="majorBidi"/>
          <w:sz w:val="24"/>
          <w:szCs w:val="24"/>
        </w:rPr>
        <w:t xml:space="preserve">, A. H. (2019b). Support for China–Pakistan Economic Corridor development in Pakistan: A local community perspective using the social exchange theory. </w:t>
      </w:r>
      <w:r w:rsidRPr="00E22183">
        <w:rPr>
          <w:rFonts w:asciiTheme="majorBidi" w:hAnsiTheme="majorBidi" w:cstheme="majorBidi"/>
          <w:i/>
          <w:sz w:val="24"/>
          <w:szCs w:val="24"/>
        </w:rPr>
        <w:t>Journal of Public Affairs, 19</w:t>
      </w:r>
      <w:r w:rsidRPr="00E22183">
        <w:rPr>
          <w:rFonts w:asciiTheme="majorBidi" w:hAnsiTheme="majorBidi" w:cstheme="majorBidi"/>
          <w:sz w:val="24"/>
          <w:szCs w:val="24"/>
        </w:rPr>
        <w:t xml:space="preserve">(2), 12.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Kanwal, S., </w:t>
      </w:r>
      <w:proofErr w:type="spellStart"/>
      <w:r w:rsidRPr="00E22183">
        <w:rPr>
          <w:rFonts w:asciiTheme="majorBidi" w:hAnsiTheme="majorBidi" w:cstheme="majorBidi"/>
          <w:sz w:val="24"/>
          <w:szCs w:val="24"/>
        </w:rPr>
        <w:t>Pitafi</w:t>
      </w:r>
      <w:proofErr w:type="spellEnd"/>
      <w:r w:rsidRPr="00E22183">
        <w:rPr>
          <w:rFonts w:asciiTheme="majorBidi" w:hAnsiTheme="majorBidi" w:cstheme="majorBidi"/>
          <w:sz w:val="24"/>
          <w:szCs w:val="24"/>
        </w:rPr>
        <w:t xml:space="preserve">, A. H., Ahmad, M., Khan, N. A., Ali, S. M., &amp; </w:t>
      </w:r>
      <w:proofErr w:type="spellStart"/>
      <w:r w:rsidRPr="00E22183">
        <w:rPr>
          <w:rFonts w:asciiTheme="majorBidi" w:hAnsiTheme="majorBidi" w:cstheme="majorBidi"/>
          <w:sz w:val="24"/>
          <w:szCs w:val="24"/>
        </w:rPr>
        <w:t>Surahio</w:t>
      </w:r>
      <w:proofErr w:type="spellEnd"/>
      <w:r w:rsidRPr="00E22183">
        <w:rPr>
          <w:rFonts w:asciiTheme="majorBidi" w:hAnsiTheme="majorBidi" w:cstheme="majorBidi"/>
          <w:sz w:val="24"/>
          <w:szCs w:val="24"/>
        </w:rPr>
        <w:t xml:space="preserve">, M. K. (2019). Cross‐border analysis of China–Pakistan Economic Corridor development project and local residence quality of life. </w:t>
      </w:r>
      <w:r w:rsidRPr="00E22183">
        <w:rPr>
          <w:rFonts w:asciiTheme="majorBidi" w:hAnsiTheme="majorBidi" w:cstheme="majorBidi"/>
          <w:i/>
          <w:sz w:val="24"/>
          <w:szCs w:val="24"/>
        </w:rPr>
        <w:t>Journal of Public Affairs</w:t>
      </w:r>
      <w:r w:rsidRPr="00E22183">
        <w:rPr>
          <w:rFonts w:asciiTheme="majorBidi" w:hAnsiTheme="majorBidi" w:cstheme="majorBidi"/>
          <w:sz w:val="24"/>
          <w:szCs w:val="24"/>
        </w:rPr>
        <w:t xml:space="preserve">, e2022.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Kanwal, S., </w:t>
      </w:r>
      <w:proofErr w:type="spellStart"/>
      <w:r w:rsidRPr="00E22183">
        <w:rPr>
          <w:rFonts w:asciiTheme="majorBidi" w:hAnsiTheme="majorBidi" w:cstheme="majorBidi"/>
          <w:sz w:val="24"/>
          <w:szCs w:val="24"/>
        </w:rPr>
        <w:t>Pitafi</w:t>
      </w:r>
      <w:proofErr w:type="spellEnd"/>
      <w:r w:rsidRPr="00E22183">
        <w:rPr>
          <w:rFonts w:asciiTheme="majorBidi" w:hAnsiTheme="majorBidi" w:cstheme="majorBidi"/>
          <w:sz w:val="24"/>
          <w:szCs w:val="24"/>
        </w:rPr>
        <w:t xml:space="preserve">, A. H., Malik, M. Y., Khan, N. A., &amp; Rashid, R. M. (2020). Local Pakistani Citizens’ Benefits and Attitudes Toward China–Pakistan Economic Corridor Projects. </w:t>
      </w:r>
      <w:r w:rsidRPr="00E22183">
        <w:rPr>
          <w:rFonts w:asciiTheme="majorBidi" w:hAnsiTheme="majorBidi" w:cstheme="majorBidi"/>
          <w:i/>
          <w:sz w:val="24"/>
          <w:szCs w:val="24"/>
        </w:rPr>
        <w:t>SAGE Open, 10</w:t>
      </w:r>
      <w:r w:rsidRPr="00E22183">
        <w:rPr>
          <w:rFonts w:asciiTheme="majorBidi" w:hAnsiTheme="majorBidi" w:cstheme="majorBidi"/>
          <w:sz w:val="24"/>
          <w:szCs w:val="24"/>
        </w:rPr>
        <w:t xml:space="preserve">(3), 2158244020942759.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Kanwal, S., </w:t>
      </w:r>
      <w:proofErr w:type="spellStart"/>
      <w:r w:rsidRPr="00E22183">
        <w:rPr>
          <w:rFonts w:asciiTheme="majorBidi" w:hAnsiTheme="majorBidi" w:cstheme="majorBidi"/>
          <w:sz w:val="24"/>
          <w:szCs w:val="24"/>
        </w:rPr>
        <w:t>Pitafi</w:t>
      </w:r>
      <w:proofErr w:type="spellEnd"/>
      <w:r w:rsidRPr="00E22183">
        <w:rPr>
          <w:rFonts w:asciiTheme="majorBidi" w:hAnsiTheme="majorBidi" w:cstheme="majorBidi"/>
          <w:sz w:val="24"/>
          <w:szCs w:val="24"/>
        </w:rPr>
        <w:t xml:space="preserve">, A. H., </w:t>
      </w:r>
      <w:proofErr w:type="spellStart"/>
      <w:r w:rsidRPr="00E22183">
        <w:rPr>
          <w:rFonts w:asciiTheme="majorBidi" w:hAnsiTheme="majorBidi" w:cstheme="majorBidi"/>
          <w:sz w:val="24"/>
          <w:szCs w:val="24"/>
        </w:rPr>
        <w:t>Pitafi</w:t>
      </w:r>
      <w:proofErr w:type="spellEnd"/>
      <w:r w:rsidRPr="00E22183">
        <w:rPr>
          <w:rFonts w:asciiTheme="majorBidi" w:hAnsiTheme="majorBidi" w:cstheme="majorBidi"/>
          <w:sz w:val="24"/>
          <w:szCs w:val="24"/>
        </w:rPr>
        <w:t xml:space="preserve">, A., Nadeem, M. A., Younis, A., &amp; Chong, R. (2019). China–Pakistan Economic Corridor (CPEC) development projects and entrepreneurial potential of locals. </w:t>
      </w:r>
      <w:r w:rsidRPr="00E22183">
        <w:rPr>
          <w:rFonts w:asciiTheme="majorBidi" w:hAnsiTheme="majorBidi" w:cstheme="majorBidi"/>
          <w:i/>
          <w:sz w:val="24"/>
          <w:szCs w:val="24"/>
        </w:rPr>
        <w:t>Journal of Public Affairs, 19</w:t>
      </w:r>
      <w:r w:rsidRPr="00E22183">
        <w:rPr>
          <w:rFonts w:asciiTheme="majorBidi" w:hAnsiTheme="majorBidi" w:cstheme="majorBidi"/>
          <w:sz w:val="24"/>
          <w:szCs w:val="24"/>
        </w:rPr>
        <w:t xml:space="preserve">(2), e1954.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Kanwal, S., </w:t>
      </w:r>
      <w:proofErr w:type="spellStart"/>
      <w:r w:rsidRPr="00E22183">
        <w:rPr>
          <w:rFonts w:asciiTheme="majorBidi" w:hAnsiTheme="majorBidi" w:cstheme="majorBidi"/>
          <w:sz w:val="24"/>
          <w:szCs w:val="24"/>
        </w:rPr>
        <w:t>Pitafi</w:t>
      </w:r>
      <w:proofErr w:type="spellEnd"/>
      <w:r w:rsidRPr="00E22183">
        <w:rPr>
          <w:rFonts w:asciiTheme="majorBidi" w:hAnsiTheme="majorBidi" w:cstheme="majorBidi"/>
          <w:sz w:val="24"/>
          <w:szCs w:val="24"/>
        </w:rPr>
        <w:t xml:space="preserve">, A. H., Rasheed, M. I., </w:t>
      </w:r>
      <w:proofErr w:type="spellStart"/>
      <w:r w:rsidRPr="00E22183">
        <w:rPr>
          <w:rFonts w:asciiTheme="majorBidi" w:hAnsiTheme="majorBidi" w:cstheme="majorBidi"/>
          <w:sz w:val="24"/>
          <w:szCs w:val="24"/>
        </w:rPr>
        <w:t>Pitafi</w:t>
      </w:r>
      <w:proofErr w:type="spellEnd"/>
      <w:r w:rsidRPr="00E22183">
        <w:rPr>
          <w:rFonts w:asciiTheme="majorBidi" w:hAnsiTheme="majorBidi" w:cstheme="majorBidi"/>
          <w:sz w:val="24"/>
          <w:szCs w:val="24"/>
        </w:rPr>
        <w:t xml:space="preserve">, A., &amp; Iqbal, J. (2019). Assessment of residents’ perceptions and support toward development projects: A study of the China–Pakistan Economic Corridor. </w:t>
      </w:r>
      <w:r w:rsidRPr="00E22183">
        <w:rPr>
          <w:rFonts w:asciiTheme="majorBidi" w:hAnsiTheme="majorBidi" w:cstheme="majorBidi"/>
          <w:i/>
          <w:sz w:val="24"/>
          <w:szCs w:val="24"/>
        </w:rPr>
        <w:t>The Social Science Journal</w:t>
      </w:r>
      <w:r w:rsidRPr="00E22183">
        <w:rPr>
          <w:rFonts w:asciiTheme="majorBidi" w:hAnsiTheme="majorBidi" w:cstheme="majorBidi"/>
          <w:sz w:val="24"/>
          <w:szCs w:val="24"/>
        </w:rPr>
        <w:t xml:space="preserve">. </w:t>
      </w:r>
    </w:p>
    <w:p w:rsid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Kanwal, S., Rasheed, M. I., </w:t>
      </w:r>
      <w:proofErr w:type="spellStart"/>
      <w:r w:rsidRPr="00E22183">
        <w:rPr>
          <w:rFonts w:asciiTheme="majorBidi" w:hAnsiTheme="majorBidi" w:cstheme="majorBidi"/>
          <w:sz w:val="24"/>
          <w:szCs w:val="24"/>
        </w:rPr>
        <w:t>Pitafi</w:t>
      </w:r>
      <w:proofErr w:type="spellEnd"/>
      <w:r w:rsidRPr="00E22183">
        <w:rPr>
          <w:rFonts w:asciiTheme="majorBidi" w:hAnsiTheme="majorBidi" w:cstheme="majorBidi"/>
          <w:sz w:val="24"/>
          <w:szCs w:val="24"/>
        </w:rPr>
        <w:t xml:space="preserve">, A. H., </w:t>
      </w:r>
      <w:proofErr w:type="spellStart"/>
      <w:r w:rsidRPr="00E22183">
        <w:rPr>
          <w:rFonts w:asciiTheme="majorBidi" w:hAnsiTheme="majorBidi" w:cstheme="majorBidi"/>
          <w:sz w:val="24"/>
          <w:szCs w:val="24"/>
        </w:rPr>
        <w:t>Pitafi</w:t>
      </w:r>
      <w:proofErr w:type="spellEnd"/>
      <w:r w:rsidRPr="00E22183">
        <w:rPr>
          <w:rFonts w:asciiTheme="majorBidi" w:hAnsiTheme="majorBidi" w:cstheme="majorBidi"/>
          <w:sz w:val="24"/>
          <w:szCs w:val="24"/>
        </w:rPr>
        <w:t xml:space="preserve">, A., &amp; Ren, M. (2020). Road and transport infrastructure development and community support for tourism: The role of perceived benefits, and community satisfaction. </w:t>
      </w:r>
      <w:r w:rsidRPr="00E22183">
        <w:rPr>
          <w:rFonts w:asciiTheme="majorBidi" w:hAnsiTheme="majorBidi" w:cstheme="majorBidi"/>
          <w:i/>
          <w:sz w:val="24"/>
          <w:szCs w:val="24"/>
        </w:rPr>
        <w:t>Tourism Management, 77</w:t>
      </w:r>
      <w:r w:rsidRPr="00E22183">
        <w:rPr>
          <w:rFonts w:asciiTheme="majorBidi" w:hAnsiTheme="majorBidi" w:cstheme="majorBidi"/>
          <w:sz w:val="24"/>
          <w:szCs w:val="24"/>
        </w:rPr>
        <w:t xml:space="preserve">, 104014.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Kanwal, S., Pitafi, A. H., Rasheed, M. I., Pitafi, A., &amp; Iqbal, J. (2019). Assessment of residents’ perceptions and support toward development projects: A study of the China–Pakistan Economic Corridor. </w:t>
      </w:r>
      <w:r>
        <w:rPr>
          <w:rFonts w:ascii="Times New Roman" w:hAnsi="Times New Roman" w:cs="Times New Roman"/>
          <w:i/>
          <w:sz w:val="24"/>
          <w:szCs w:val="24"/>
        </w:rPr>
        <w:t>The Social Science Journal</w:t>
      </w:r>
      <w:r>
        <w:rPr>
          <w:rFonts w:ascii="Times New Roman" w:hAnsi="Times New Roman" w:cs="Times New Roman"/>
          <w:sz w:val="24"/>
          <w:szCs w:val="24"/>
        </w:rPr>
        <w:t xml:space="preserve">.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Kanwal, S., Pitafi, A. H., Rasheed, M. I., Pitafi, A., &amp; Iqbal, J. (2022). Assessment of residents’ perceptions and support toward development projects: A study of the China–Pakistan Economic Corridor. </w:t>
      </w:r>
      <w:r>
        <w:rPr>
          <w:rFonts w:ascii="Times New Roman" w:hAnsi="Times New Roman" w:cs="Times New Roman"/>
          <w:i/>
          <w:sz w:val="24"/>
          <w:szCs w:val="24"/>
        </w:rPr>
        <w:t>The Social Science Journal, 59</w:t>
      </w:r>
      <w:r>
        <w:rPr>
          <w:rFonts w:ascii="Times New Roman" w:hAnsi="Times New Roman" w:cs="Times New Roman"/>
          <w:sz w:val="24"/>
          <w:szCs w:val="24"/>
        </w:rPr>
        <w:t xml:space="preserve">(1), 102-118.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Kanwal, S., Rasheed, M. I., Pitafi, A. H., Pitafi, A., &amp; Ren, M. (2020). Road and transport infrastructure development and community support for tourism: The role of perceived benefits, and community satisfaction. </w:t>
      </w:r>
      <w:r>
        <w:rPr>
          <w:rFonts w:ascii="Times New Roman" w:hAnsi="Times New Roman" w:cs="Times New Roman"/>
          <w:i/>
          <w:sz w:val="24"/>
          <w:szCs w:val="24"/>
        </w:rPr>
        <w:t>Tourism Management, 77</w:t>
      </w:r>
      <w:r>
        <w:rPr>
          <w:rFonts w:ascii="Times New Roman" w:hAnsi="Times New Roman" w:cs="Times New Roman"/>
          <w:sz w:val="24"/>
          <w:szCs w:val="24"/>
        </w:rPr>
        <w:t xml:space="preserve">, 104014.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Khalid, J., Weng, Q. D., Luqman, A., Rasheed, M. I., &amp; Hina, M. (2022). After-hours work-related technology use and individuals' deviance: the role of other-initiated versus self-initiated interruptions. </w:t>
      </w:r>
      <w:r>
        <w:rPr>
          <w:rFonts w:ascii="Times New Roman" w:hAnsi="Times New Roman" w:cs="Times New Roman"/>
          <w:i/>
          <w:sz w:val="24"/>
          <w:szCs w:val="24"/>
        </w:rPr>
        <w:t>Information Technology &amp; People, 35</w:t>
      </w:r>
      <w:r>
        <w:rPr>
          <w:rFonts w:ascii="Times New Roman" w:hAnsi="Times New Roman" w:cs="Times New Roman"/>
          <w:sz w:val="24"/>
          <w:szCs w:val="24"/>
        </w:rPr>
        <w:t xml:space="preserve">(7), 1955-1979.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Khalid, J., Weng, Q. D., Luqman, A., Rasheed, M. I., &amp; Hina, M. (2023). After-hours work-related technology use and individuals' deviance: the role of interruption overload, psychological transition and task closure. </w:t>
      </w:r>
      <w:r>
        <w:rPr>
          <w:rFonts w:ascii="Times New Roman" w:hAnsi="Times New Roman" w:cs="Times New Roman"/>
          <w:i/>
          <w:sz w:val="24"/>
          <w:szCs w:val="24"/>
        </w:rPr>
        <w:t>Kybernetes, 52</w:t>
      </w:r>
      <w:r>
        <w:rPr>
          <w:rFonts w:ascii="Times New Roman" w:hAnsi="Times New Roman" w:cs="Times New Roman"/>
          <w:sz w:val="24"/>
          <w:szCs w:val="24"/>
        </w:rPr>
        <w:t xml:space="preserve">(1), 158-181.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Khan, S. U., Liu, X., Khan, I. U., Liu, C., &amp; Rasheed, M. I. (2020). Assessing the investors' acceptance of electronic stock trading in a developing country: the Mediating role of perceived risk dimensions. </w:t>
      </w:r>
      <w:r>
        <w:rPr>
          <w:rFonts w:ascii="Times New Roman" w:hAnsi="Times New Roman" w:cs="Times New Roman"/>
          <w:i/>
          <w:sz w:val="24"/>
          <w:szCs w:val="24"/>
        </w:rPr>
        <w:t>Information Resources Management Journal (IRMJ), 33</w:t>
      </w:r>
      <w:r>
        <w:rPr>
          <w:rFonts w:ascii="Times New Roman" w:hAnsi="Times New Roman" w:cs="Times New Roman"/>
          <w:sz w:val="24"/>
          <w:szCs w:val="24"/>
        </w:rPr>
        <w:t xml:space="preserve">(1), 59-82.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Khizar, H. M. U., Iqbal, M. J., &amp; Rasheed, M. I. (2021). Business orientation and sustainable development: A systematic review of sustainability orientation literature and future research avenues. </w:t>
      </w:r>
      <w:r>
        <w:rPr>
          <w:rFonts w:ascii="Times New Roman" w:hAnsi="Times New Roman" w:cs="Times New Roman"/>
          <w:i/>
          <w:sz w:val="24"/>
          <w:szCs w:val="24"/>
        </w:rPr>
        <w:t>Sustainable Development, 29</w:t>
      </w:r>
      <w:r>
        <w:rPr>
          <w:rFonts w:ascii="Times New Roman" w:hAnsi="Times New Roman" w:cs="Times New Roman"/>
          <w:sz w:val="24"/>
          <w:szCs w:val="24"/>
        </w:rPr>
        <w:t xml:space="preserve">(5), 1001-1017.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Khali, I., &amp; Nadeem, U. (2019). </w:t>
      </w:r>
      <w:proofErr w:type="spellStart"/>
      <w:r w:rsidRPr="00E22183">
        <w:rPr>
          <w:rFonts w:asciiTheme="majorBidi" w:hAnsiTheme="majorBidi" w:cstheme="majorBidi"/>
          <w:sz w:val="24"/>
          <w:szCs w:val="24"/>
        </w:rPr>
        <w:t>Optimising</w:t>
      </w:r>
      <w:proofErr w:type="spellEnd"/>
      <w:r w:rsidRPr="00E22183">
        <w:rPr>
          <w:rFonts w:asciiTheme="majorBidi" w:hAnsiTheme="majorBidi" w:cstheme="majorBidi"/>
          <w:sz w:val="24"/>
          <w:szCs w:val="24"/>
        </w:rPr>
        <w:t xml:space="preserve"> the Naya Pakistan housing policy opportunity: Working Paper.</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Khan, M. B., Batool, I., &amp; Hussain, S. (2015). Customer satisfaction at public sector: a case study of Pakistan Housing Authority. </w:t>
      </w:r>
      <w:r w:rsidRPr="00E22183">
        <w:rPr>
          <w:rFonts w:asciiTheme="majorBidi" w:hAnsiTheme="majorBidi" w:cstheme="majorBidi"/>
          <w:i/>
          <w:sz w:val="24"/>
          <w:szCs w:val="24"/>
        </w:rPr>
        <w:t>Pakistan Journal of Social Sciences, 35</w:t>
      </w:r>
      <w:r w:rsidRPr="00E22183">
        <w:rPr>
          <w:rFonts w:asciiTheme="majorBidi" w:hAnsiTheme="majorBidi" w:cstheme="majorBidi"/>
          <w:sz w:val="24"/>
          <w:szCs w:val="24"/>
        </w:rPr>
        <w:t xml:space="preserve">(2), 1037-1050.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Kim, H.-S., Lee, G.-E., Lee, J.-S., &amp; Choi, Y. (2019). Understanding the local impact of urban park plans and park typology on housing price: A case study of the Busan metropolitan region, Korea. </w:t>
      </w:r>
      <w:r w:rsidRPr="00E22183">
        <w:rPr>
          <w:rFonts w:asciiTheme="majorBidi" w:hAnsiTheme="majorBidi" w:cstheme="majorBidi"/>
          <w:i/>
          <w:sz w:val="24"/>
          <w:szCs w:val="24"/>
        </w:rPr>
        <w:t>Landscape and Urban Planning, 184</w:t>
      </w:r>
      <w:r w:rsidRPr="00E22183">
        <w:rPr>
          <w:rFonts w:asciiTheme="majorBidi" w:hAnsiTheme="majorBidi" w:cstheme="majorBidi"/>
          <w:sz w:val="24"/>
          <w:szCs w:val="24"/>
        </w:rPr>
        <w:t xml:space="preserve">, 1-11.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Kuchler</w:t>
      </w:r>
      <w:proofErr w:type="spellEnd"/>
      <w:r w:rsidRPr="00E22183">
        <w:rPr>
          <w:rFonts w:asciiTheme="majorBidi" w:hAnsiTheme="majorBidi" w:cstheme="majorBidi"/>
          <w:sz w:val="24"/>
          <w:szCs w:val="24"/>
        </w:rPr>
        <w:t xml:space="preserve">, T., </w:t>
      </w:r>
      <w:proofErr w:type="spellStart"/>
      <w:r w:rsidRPr="00E22183">
        <w:rPr>
          <w:rFonts w:asciiTheme="majorBidi" w:hAnsiTheme="majorBidi" w:cstheme="majorBidi"/>
          <w:sz w:val="24"/>
          <w:szCs w:val="24"/>
        </w:rPr>
        <w:t>Piazzesi</w:t>
      </w:r>
      <w:proofErr w:type="spellEnd"/>
      <w:r w:rsidRPr="00E22183">
        <w:rPr>
          <w:rFonts w:asciiTheme="majorBidi" w:hAnsiTheme="majorBidi" w:cstheme="majorBidi"/>
          <w:sz w:val="24"/>
          <w:szCs w:val="24"/>
        </w:rPr>
        <w:t xml:space="preserve">, M., &amp; </w:t>
      </w:r>
      <w:proofErr w:type="spellStart"/>
      <w:r w:rsidRPr="00E22183">
        <w:rPr>
          <w:rFonts w:asciiTheme="majorBidi" w:hAnsiTheme="majorBidi" w:cstheme="majorBidi"/>
          <w:sz w:val="24"/>
          <w:szCs w:val="24"/>
        </w:rPr>
        <w:t>Stroebel</w:t>
      </w:r>
      <w:proofErr w:type="spellEnd"/>
      <w:r w:rsidRPr="00E22183">
        <w:rPr>
          <w:rFonts w:asciiTheme="majorBidi" w:hAnsiTheme="majorBidi" w:cstheme="majorBidi"/>
          <w:sz w:val="24"/>
          <w:szCs w:val="24"/>
        </w:rPr>
        <w:t xml:space="preserve">, J. (2023). Housing market expectations </w:t>
      </w:r>
      <w:r w:rsidRPr="00E22183">
        <w:rPr>
          <w:rFonts w:asciiTheme="majorBidi" w:hAnsiTheme="majorBidi" w:cstheme="majorBidi"/>
          <w:i/>
          <w:sz w:val="24"/>
          <w:szCs w:val="24"/>
        </w:rPr>
        <w:t>Handbook of Economic Expectations</w:t>
      </w:r>
      <w:r w:rsidRPr="00E22183">
        <w:rPr>
          <w:rFonts w:asciiTheme="majorBidi" w:hAnsiTheme="majorBidi" w:cstheme="majorBidi"/>
          <w:sz w:val="24"/>
          <w:szCs w:val="24"/>
        </w:rPr>
        <w:t xml:space="preserve"> (pp. 163-191): Elsevier.</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Li, B., Peng, Y., He, H., Wang, M., &amp; Feng, T. (2021). Built environment and early infection of COVID-19 in urban districts: A case study of </w:t>
      </w:r>
      <w:proofErr w:type="spellStart"/>
      <w:r w:rsidRPr="00E22183">
        <w:rPr>
          <w:rFonts w:asciiTheme="majorBidi" w:hAnsiTheme="majorBidi" w:cstheme="majorBidi"/>
          <w:sz w:val="24"/>
          <w:szCs w:val="24"/>
        </w:rPr>
        <w:t>Huangzhou</w:t>
      </w:r>
      <w:proofErr w:type="spellEnd"/>
      <w:r w:rsidRPr="00E22183">
        <w:rPr>
          <w:rFonts w:asciiTheme="majorBidi" w:hAnsiTheme="majorBidi" w:cstheme="majorBidi"/>
          <w:sz w:val="24"/>
          <w:szCs w:val="24"/>
        </w:rPr>
        <w:t xml:space="preserve">. </w:t>
      </w:r>
      <w:r w:rsidRPr="00E22183">
        <w:rPr>
          <w:rFonts w:asciiTheme="majorBidi" w:hAnsiTheme="majorBidi" w:cstheme="majorBidi"/>
          <w:i/>
          <w:sz w:val="24"/>
          <w:szCs w:val="24"/>
        </w:rPr>
        <w:t>Sustainable Cities and Society, 66</w:t>
      </w:r>
      <w:r w:rsidRPr="00E22183">
        <w:rPr>
          <w:rFonts w:asciiTheme="majorBidi" w:hAnsiTheme="majorBidi" w:cstheme="majorBidi"/>
          <w:sz w:val="24"/>
          <w:szCs w:val="24"/>
        </w:rPr>
        <w:t xml:space="preserve">, 102685.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Li, H., Wei, Y. D., Wu, Y., &amp; Tian, G. (2019). Analyzing housing prices in Shanghai with open data: Amenity, accessibility and urban structure. </w:t>
      </w:r>
      <w:r w:rsidRPr="00E22183">
        <w:rPr>
          <w:rFonts w:asciiTheme="majorBidi" w:hAnsiTheme="majorBidi" w:cstheme="majorBidi"/>
          <w:i/>
          <w:sz w:val="24"/>
          <w:szCs w:val="24"/>
        </w:rPr>
        <w:t>Cities, 91</w:t>
      </w:r>
      <w:r w:rsidRPr="00E22183">
        <w:rPr>
          <w:rFonts w:asciiTheme="majorBidi" w:hAnsiTheme="majorBidi" w:cstheme="majorBidi"/>
          <w:sz w:val="24"/>
          <w:szCs w:val="24"/>
        </w:rPr>
        <w:t xml:space="preserve">, 165-179.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Liang, H., Saraf, N., Hu, Q., &amp; </w:t>
      </w:r>
      <w:proofErr w:type="spellStart"/>
      <w:r w:rsidRPr="00E22183">
        <w:rPr>
          <w:rFonts w:asciiTheme="majorBidi" w:hAnsiTheme="majorBidi" w:cstheme="majorBidi"/>
          <w:sz w:val="24"/>
          <w:szCs w:val="24"/>
        </w:rPr>
        <w:t>Xue</w:t>
      </w:r>
      <w:proofErr w:type="spellEnd"/>
      <w:r w:rsidRPr="00E22183">
        <w:rPr>
          <w:rFonts w:asciiTheme="majorBidi" w:hAnsiTheme="majorBidi" w:cstheme="majorBidi"/>
          <w:sz w:val="24"/>
          <w:szCs w:val="24"/>
        </w:rPr>
        <w:t xml:space="preserve">, Y. (2007). Assimilation of enterprise systems: the effect of institutional pressures and the mediating role of top management. </w:t>
      </w:r>
      <w:r w:rsidRPr="00E22183">
        <w:rPr>
          <w:rFonts w:asciiTheme="majorBidi" w:hAnsiTheme="majorBidi" w:cstheme="majorBidi"/>
          <w:i/>
          <w:sz w:val="24"/>
          <w:szCs w:val="24"/>
        </w:rPr>
        <w:t>Mis Quarterly</w:t>
      </w:r>
      <w:r w:rsidRPr="00E22183">
        <w:rPr>
          <w:rFonts w:asciiTheme="majorBidi" w:hAnsiTheme="majorBidi" w:cstheme="majorBidi"/>
          <w:sz w:val="24"/>
          <w:szCs w:val="24"/>
        </w:rPr>
        <w:t xml:space="preserve">, 59-87.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Liu, G., Ye, K., Tan, Y., Huang, Z., &amp; Li, X. (2022). Factors influencing homeowners’ housing renovation decision-making: Towards a holistic understanding. </w:t>
      </w:r>
      <w:r w:rsidRPr="00E22183">
        <w:rPr>
          <w:rFonts w:asciiTheme="majorBidi" w:hAnsiTheme="majorBidi" w:cstheme="majorBidi"/>
          <w:i/>
          <w:sz w:val="24"/>
          <w:szCs w:val="24"/>
        </w:rPr>
        <w:t>Energy and Buildings, 254</w:t>
      </w:r>
      <w:r w:rsidRPr="00E22183">
        <w:rPr>
          <w:rFonts w:asciiTheme="majorBidi" w:hAnsiTheme="majorBidi" w:cstheme="majorBidi"/>
          <w:sz w:val="24"/>
          <w:szCs w:val="24"/>
        </w:rPr>
        <w:t xml:space="preserve">, 111568.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Liu, R., Greene, R., Yu, Y., &amp; </w:t>
      </w:r>
      <w:proofErr w:type="spellStart"/>
      <w:r w:rsidRPr="00E22183">
        <w:rPr>
          <w:rFonts w:asciiTheme="majorBidi" w:hAnsiTheme="majorBidi" w:cstheme="majorBidi"/>
          <w:sz w:val="24"/>
          <w:szCs w:val="24"/>
        </w:rPr>
        <w:t>Lv</w:t>
      </w:r>
      <w:proofErr w:type="spellEnd"/>
      <w:r w:rsidRPr="00E22183">
        <w:rPr>
          <w:rFonts w:asciiTheme="majorBidi" w:hAnsiTheme="majorBidi" w:cstheme="majorBidi"/>
          <w:sz w:val="24"/>
          <w:szCs w:val="24"/>
        </w:rPr>
        <w:t xml:space="preserve">, H. (2022). Are migration and settlement environment-driven? Environment-related residential preferences of migrants in China. </w:t>
      </w:r>
      <w:r w:rsidRPr="00E22183">
        <w:rPr>
          <w:rFonts w:asciiTheme="majorBidi" w:hAnsiTheme="majorBidi" w:cstheme="majorBidi"/>
          <w:i/>
          <w:sz w:val="24"/>
          <w:szCs w:val="24"/>
        </w:rPr>
        <w:t>Journal of Cleaner Production, 377</w:t>
      </w:r>
      <w:r w:rsidRPr="00E22183">
        <w:rPr>
          <w:rFonts w:asciiTheme="majorBidi" w:hAnsiTheme="majorBidi" w:cstheme="majorBidi"/>
          <w:sz w:val="24"/>
          <w:szCs w:val="24"/>
        </w:rPr>
        <w:t xml:space="preserve">, 134263.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Luqman, A., Masood, A., Shahzad, F., Imran Rasheed, M., &amp; Weng, Q. (2020). Enterprise social media and cyber-slacking: an integrated perspective. </w:t>
      </w:r>
      <w:r>
        <w:rPr>
          <w:rFonts w:ascii="Times New Roman" w:hAnsi="Times New Roman" w:cs="Times New Roman"/>
          <w:i/>
          <w:sz w:val="24"/>
          <w:szCs w:val="24"/>
        </w:rPr>
        <w:t>International Journal of Human–Computer Interaction, 36</w:t>
      </w:r>
      <w:r>
        <w:rPr>
          <w:rFonts w:ascii="Times New Roman" w:hAnsi="Times New Roman" w:cs="Times New Roman"/>
          <w:sz w:val="24"/>
          <w:szCs w:val="24"/>
        </w:rPr>
        <w:t xml:space="preserve">(15), 1426-1436.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Luqman, A., Masood, A., Weng, Q., Ali, A., &amp; Rasheed, M. I. (2020). Linking excessive SNS use, technological friction, strain, and discontinuance: the moderating role of guilt. </w:t>
      </w:r>
      <w:r>
        <w:rPr>
          <w:rFonts w:ascii="Times New Roman" w:hAnsi="Times New Roman" w:cs="Times New Roman"/>
          <w:i/>
          <w:sz w:val="24"/>
          <w:szCs w:val="24"/>
        </w:rPr>
        <w:t>Information Systems Management, 37</w:t>
      </w:r>
      <w:r>
        <w:rPr>
          <w:rFonts w:ascii="Times New Roman" w:hAnsi="Times New Roman" w:cs="Times New Roman"/>
          <w:sz w:val="24"/>
          <w:szCs w:val="24"/>
        </w:rPr>
        <w:t xml:space="preserve">(2), 94-112.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Moin, M. F., Omar, M. K., Wei, F., Rasheed, M. I., &amp; Hameed, Z. (2021). Green HRM and psychological safety: How transformational leadership drives follower’s job satisfaction. </w:t>
      </w:r>
      <w:r>
        <w:rPr>
          <w:rFonts w:ascii="Times New Roman" w:hAnsi="Times New Roman" w:cs="Times New Roman"/>
          <w:i/>
          <w:sz w:val="24"/>
          <w:szCs w:val="24"/>
        </w:rPr>
        <w:t>Current issues in Tourism, 24</w:t>
      </w:r>
      <w:r>
        <w:rPr>
          <w:rFonts w:ascii="Times New Roman" w:hAnsi="Times New Roman" w:cs="Times New Roman"/>
          <w:sz w:val="24"/>
          <w:szCs w:val="24"/>
        </w:rPr>
        <w:t xml:space="preserve">(16), 2269-2277.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MacKenzie</w:t>
      </w:r>
      <w:proofErr w:type="spellEnd"/>
      <w:r w:rsidRPr="00E22183">
        <w:rPr>
          <w:rFonts w:asciiTheme="majorBidi" w:hAnsiTheme="majorBidi" w:cstheme="majorBidi"/>
          <w:sz w:val="24"/>
          <w:szCs w:val="24"/>
        </w:rPr>
        <w:t xml:space="preserve">, S. B., Podsakoff, P. M., &amp; Podsakoff, N. P. (2011). Construct measurement and validation procedures in MIS and behavioral research: Integrating new and existing techniques. </w:t>
      </w:r>
      <w:r w:rsidRPr="00E22183">
        <w:rPr>
          <w:rFonts w:asciiTheme="majorBidi" w:hAnsiTheme="majorBidi" w:cstheme="majorBidi"/>
          <w:i/>
          <w:sz w:val="24"/>
          <w:szCs w:val="24"/>
        </w:rPr>
        <w:t>Mis Quarterly, 35</w:t>
      </w:r>
      <w:r w:rsidRPr="00E22183">
        <w:rPr>
          <w:rFonts w:asciiTheme="majorBidi" w:hAnsiTheme="majorBidi" w:cstheme="majorBidi"/>
          <w:sz w:val="24"/>
          <w:szCs w:val="24"/>
        </w:rPr>
        <w:t xml:space="preserve">(2), 293-334.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Mast, E. (2019). The effect of new market-rate housing construction on the low-income housing market. </w:t>
      </w:r>
      <w:r w:rsidRPr="00E22183">
        <w:rPr>
          <w:rFonts w:asciiTheme="majorBidi" w:hAnsiTheme="majorBidi" w:cstheme="majorBidi"/>
          <w:i/>
          <w:sz w:val="24"/>
          <w:szCs w:val="24"/>
        </w:rPr>
        <w:t>Upjohn Institute WP</w:t>
      </w:r>
      <w:r w:rsidRPr="00E22183">
        <w:rPr>
          <w:rFonts w:asciiTheme="majorBidi" w:hAnsiTheme="majorBidi" w:cstheme="majorBidi"/>
          <w:sz w:val="24"/>
          <w:szCs w:val="24"/>
        </w:rPr>
        <w:t xml:space="preserve">, 19-307.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Mayo, S. K. (2022). Household preferences and expenditures. </w:t>
      </w:r>
      <w:r w:rsidRPr="00E22183">
        <w:rPr>
          <w:rFonts w:asciiTheme="majorBidi" w:hAnsiTheme="majorBidi" w:cstheme="majorBidi"/>
          <w:i/>
          <w:sz w:val="24"/>
          <w:szCs w:val="24"/>
        </w:rPr>
        <w:t>Shelter, Settlement &amp; Development</w:t>
      </w:r>
      <w:r w:rsidRPr="00E22183">
        <w:rPr>
          <w:rFonts w:asciiTheme="majorBidi" w:hAnsiTheme="majorBidi" w:cstheme="majorBidi"/>
          <w:sz w:val="24"/>
          <w:szCs w:val="24"/>
        </w:rPr>
        <w:t xml:space="preserve">, 60-72.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McClure, K. (2019). What should be the future of the Low-Income Housing Tax Credit program? </w:t>
      </w:r>
      <w:r w:rsidRPr="00E22183">
        <w:rPr>
          <w:rFonts w:asciiTheme="majorBidi" w:hAnsiTheme="majorBidi" w:cstheme="majorBidi"/>
          <w:i/>
          <w:sz w:val="24"/>
          <w:szCs w:val="24"/>
        </w:rPr>
        <w:t>Housing Policy Debate, 29</w:t>
      </w:r>
      <w:r w:rsidRPr="00E22183">
        <w:rPr>
          <w:rFonts w:asciiTheme="majorBidi" w:hAnsiTheme="majorBidi" w:cstheme="majorBidi"/>
          <w:sz w:val="24"/>
          <w:szCs w:val="24"/>
        </w:rPr>
        <w:t xml:space="preserve">(1), 65-81.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Mouratidis</w:t>
      </w:r>
      <w:proofErr w:type="spellEnd"/>
      <w:r w:rsidRPr="00E22183">
        <w:rPr>
          <w:rFonts w:asciiTheme="majorBidi" w:hAnsiTheme="majorBidi" w:cstheme="majorBidi"/>
          <w:sz w:val="24"/>
          <w:szCs w:val="24"/>
        </w:rPr>
        <w:t xml:space="preserve">, K. (2021). Urban planning and quality of life: A review of pathways linking the built environment to subjective well-being. </w:t>
      </w:r>
      <w:r w:rsidRPr="00E22183">
        <w:rPr>
          <w:rFonts w:asciiTheme="majorBidi" w:hAnsiTheme="majorBidi" w:cstheme="majorBidi"/>
          <w:i/>
          <w:sz w:val="24"/>
          <w:szCs w:val="24"/>
        </w:rPr>
        <w:t>Cities, 115</w:t>
      </w:r>
      <w:r w:rsidRPr="00E22183">
        <w:rPr>
          <w:rFonts w:asciiTheme="majorBidi" w:hAnsiTheme="majorBidi" w:cstheme="majorBidi"/>
          <w:sz w:val="24"/>
          <w:szCs w:val="24"/>
        </w:rPr>
        <w:t xml:space="preserve">, 103229.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Ngoc, N. M., Tien, N. H., &amp; </w:t>
      </w:r>
      <w:proofErr w:type="spellStart"/>
      <w:r w:rsidRPr="00E22183">
        <w:rPr>
          <w:rFonts w:asciiTheme="majorBidi" w:hAnsiTheme="majorBidi" w:cstheme="majorBidi"/>
          <w:sz w:val="24"/>
          <w:szCs w:val="24"/>
        </w:rPr>
        <w:t>Hieu</w:t>
      </w:r>
      <w:proofErr w:type="spellEnd"/>
      <w:r w:rsidRPr="00E22183">
        <w:rPr>
          <w:rFonts w:asciiTheme="majorBidi" w:hAnsiTheme="majorBidi" w:cstheme="majorBidi"/>
          <w:sz w:val="24"/>
          <w:szCs w:val="24"/>
        </w:rPr>
        <w:t xml:space="preserve">, V. M. (2023). Factors affecting the selling price of luxury apartments in Vietnam. A quantitative analysis. </w:t>
      </w:r>
      <w:r w:rsidRPr="00E22183">
        <w:rPr>
          <w:rFonts w:asciiTheme="majorBidi" w:hAnsiTheme="majorBidi" w:cstheme="majorBidi"/>
          <w:i/>
          <w:sz w:val="24"/>
          <w:szCs w:val="24"/>
        </w:rPr>
        <w:t xml:space="preserve">International journal of business and </w:t>
      </w:r>
      <w:proofErr w:type="spellStart"/>
      <w:r w:rsidRPr="00E22183">
        <w:rPr>
          <w:rFonts w:asciiTheme="majorBidi" w:hAnsiTheme="majorBidi" w:cstheme="majorBidi"/>
          <w:i/>
          <w:sz w:val="24"/>
          <w:szCs w:val="24"/>
        </w:rPr>
        <w:t>globalisation</w:t>
      </w:r>
      <w:proofErr w:type="spellEnd"/>
      <w:r w:rsidRPr="00E22183">
        <w:rPr>
          <w:rFonts w:asciiTheme="majorBidi" w:hAnsiTheme="majorBidi" w:cstheme="majorBidi"/>
          <w:sz w:val="24"/>
          <w:szCs w:val="24"/>
        </w:rPr>
        <w:t xml:space="preserve">.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Nilashi</w:t>
      </w:r>
      <w:proofErr w:type="spellEnd"/>
      <w:r w:rsidRPr="00E22183">
        <w:rPr>
          <w:rFonts w:asciiTheme="majorBidi" w:hAnsiTheme="majorBidi" w:cstheme="majorBidi"/>
          <w:sz w:val="24"/>
          <w:szCs w:val="24"/>
        </w:rPr>
        <w:t xml:space="preserve">, M., Samad, S., </w:t>
      </w:r>
      <w:proofErr w:type="spellStart"/>
      <w:r w:rsidRPr="00E22183">
        <w:rPr>
          <w:rFonts w:asciiTheme="majorBidi" w:hAnsiTheme="majorBidi" w:cstheme="majorBidi"/>
          <w:sz w:val="24"/>
          <w:szCs w:val="24"/>
        </w:rPr>
        <w:t>Manaf</w:t>
      </w:r>
      <w:proofErr w:type="spellEnd"/>
      <w:r w:rsidRPr="00E22183">
        <w:rPr>
          <w:rFonts w:asciiTheme="majorBidi" w:hAnsiTheme="majorBidi" w:cstheme="majorBidi"/>
          <w:sz w:val="24"/>
          <w:szCs w:val="24"/>
        </w:rPr>
        <w:t xml:space="preserve">, A. A., Ahmadi, H., Rashid, T. A., Munshi, A., . . . Ahmed, O. H. (2019). Factors influencing medical tourism adoption in Malaysia: A DEMATEL-Fuzzy TOPSIS approach. </w:t>
      </w:r>
      <w:r w:rsidRPr="00E22183">
        <w:rPr>
          <w:rFonts w:asciiTheme="majorBidi" w:hAnsiTheme="majorBidi" w:cstheme="majorBidi"/>
          <w:i/>
          <w:sz w:val="24"/>
          <w:szCs w:val="24"/>
        </w:rPr>
        <w:t>Computers &amp; Industrial Engineering, 137</w:t>
      </w:r>
      <w:r w:rsidRPr="00E22183">
        <w:rPr>
          <w:rFonts w:asciiTheme="majorBidi" w:hAnsiTheme="majorBidi" w:cstheme="majorBidi"/>
          <w:sz w:val="24"/>
          <w:szCs w:val="24"/>
        </w:rPr>
        <w:t xml:space="preserve">, 106005.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Naeem, R. M., Weng, Q., Hameed, Z., &amp; Rasheed, M. I. (2020). Ethical leadership and work engagement: A moderated mediation model. </w:t>
      </w:r>
      <w:r>
        <w:rPr>
          <w:rFonts w:ascii="Times New Roman" w:hAnsi="Times New Roman" w:cs="Times New Roman"/>
          <w:i/>
          <w:sz w:val="24"/>
          <w:szCs w:val="24"/>
        </w:rPr>
        <w:t>Ethics &amp; Behavior, 30</w:t>
      </w:r>
      <w:r>
        <w:rPr>
          <w:rFonts w:ascii="Times New Roman" w:hAnsi="Times New Roman" w:cs="Times New Roman"/>
          <w:sz w:val="24"/>
          <w:szCs w:val="24"/>
        </w:rPr>
        <w:t xml:space="preserve">(1), 63-82.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Nisar, S. K., &amp; Rasheed, M. I. (2020). Stress and performance: Investigating relationship between occupational stress, career satisfaction, and job performance of police employees. </w:t>
      </w:r>
      <w:r>
        <w:rPr>
          <w:rFonts w:ascii="Times New Roman" w:hAnsi="Times New Roman" w:cs="Times New Roman"/>
          <w:i/>
          <w:sz w:val="24"/>
          <w:szCs w:val="24"/>
        </w:rPr>
        <w:t>Journal of Public Affairs, 20</w:t>
      </w:r>
      <w:r>
        <w:rPr>
          <w:rFonts w:ascii="Times New Roman" w:hAnsi="Times New Roman" w:cs="Times New Roman"/>
          <w:sz w:val="24"/>
          <w:szCs w:val="24"/>
        </w:rPr>
        <w:t xml:space="preserve">(1), e1986.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Nisar, S. K., Rasheed, M. I., &amp; Qiang, W. (2018). They can’t safeguard you when they are under stress: An exploratory study on issues and problems of job stress in police. </w:t>
      </w:r>
      <w:r>
        <w:rPr>
          <w:rFonts w:ascii="Times New Roman" w:hAnsi="Times New Roman" w:cs="Times New Roman"/>
          <w:i/>
          <w:sz w:val="24"/>
          <w:szCs w:val="24"/>
        </w:rPr>
        <w:t>International Journal of Police Science &amp; Management, 20</w:t>
      </w:r>
      <w:r>
        <w:rPr>
          <w:rFonts w:ascii="Times New Roman" w:hAnsi="Times New Roman" w:cs="Times New Roman"/>
          <w:sz w:val="24"/>
          <w:szCs w:val="24"/>
        </w:rPr>
        <w:t xml:space="preserve">(2), 124-133.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Nunnally, J. C., &amp; Bernstein, I. (1978). Psychometric theory. New York (2ed.).New York: McGraw-Hill.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Nursoleh</w:t>
      </w:r>
      <w:proofErr w:type="spellEnd"/>
      <w:r w:rsidRPr="00E22183">
        <w:rPr>
          <w:rFonts w:asciiTheme="majorBidi" w:hAnsiTheme="majorBidi" w:cstheme="majorBidi"/>
          <w:sz w:val="24"/>
          <w:szCs w:val="24"/>
        </w:rPr>
        <w:t xml:space="preserve">, N. (2022). Location Analysis of Interest in Buying Housing in South Tangerang City. </w:t>
      </w:r>
      <w:r w:rsidRPr="00E22183">
        <w:rPr>
          <w:rFonts w:asciiTheme="majorBidi" w:hAnsiTheme="majorBidi" w:cstheme="majorBidi"/>
          <w:i/>
          <w:sz w:val="24"/>
          <w:szCs w:val="24"/>
        </w:rPr>
        <w:t xml:space="preserve">AKADEMIK: </w:t>
      </w:r>
      <w:proofErr w:type="spellStart"/>
      <w:r w:rsidRPr="00E22183">
        <w:rPr>
          <w:rFonts w:asciiTheme="majorBidi" w:hAnsiTheme="majorBidi" w:cstheme="majorBidi"/>
          <w:i/>
          <w:sz w:val="24"/>
          <w:szCs w:val="24"/>
        </w:rPr>
        <w:t>Jurnal</w:t>
      </w:r>
      <w:proofErr w:type="spellEnd"/>
      <w:r w:rsidRPr="00E22183">
        <w:rPr>
          <w:rFonts w:asciiTheme="majorBidi" w:hAnsiTheme="majorBidi" w:cstheme="majorBidi"/>
          <w:i/>
          <w:sz w:val="24"/>
          <w:szCs w:val="24"/>
        </w:rPr>
        <w:t xml:space="preserve"> </w:t>
      </w:r>
      <w:proofErr w:type="spellStart"/>
      <w:r w:rsidRPr="00E22183">
        <w:rPr>
          <w:rFonts w:asciiTheme="majorBidi" w:hAnsiTheme="majorBidi" w:cstheme="majorBidi"/>
          <w:i/>
          <w:sz w:val="24"/>
          <w:szCs w:val="24"/>
        </w:rPr>
        <w:t>Mahasiswa</w:t>
      </w:r>
      <w:proofErr w:type="spellEnd"/>
      <w:r w:rsidRPr="00E22183">
        <w:rPr>
          <w:rFonts w:asciiTheme="majorBidi" w:hAnsiTheme="majorBidi" w:cstheme="majorBidi"/>
          <w:i/>
          <w:sz w:val="24"/>
          <w:szCs w:val="24"/>
        </w:rPr>
        <w:t xml:space="preserve"> Ekonomi &amp; </w:t>
      </w:r>
      <w:proofErr w:type="spellStart"/>
      <w:r w:rsidRPr="00E22183">
        <w:rPr>
          <w:rFonts w:asciiTheme="majorBidi" w:hAnsiTheme="majorBidi" w:cstheme="majorBidi"/>
          <w:i/>
          <w:sz w:val="24"/>
          <w:szCs w:val="24"/>
        </w:rPr>
        <w:t>Bisnis</w:t>
      </w:r>
      <w:proofErr w:type="spellEnd"/>
      <w:r w:rsidRPr="00E22183">
        <w:rPr>
          <w:rFonts w:asciiTheme="majorBidi" w:hAnsiTheme="majorBidi" w:cstheme="majorBidi"/>
          <w:i/>
          <w:sz w:val="24"/>
          <w:szCs w:val="24"/>
        </w:rPr>
        <w:t>, 2</w:t>
      </w:r>
      <w:r w:rsidRPr="00E22183">
        <w:rPr>
          <w:rFonts w:asciiTheme="majorBidi" w:hAnsiTheme="majorBidi" w:cstheme="majorBidi"/>
          <w:sz w:val="24"/>
          <w:szCs w:val="24"/>
        </w:rPr>
        <w:t xml:space="preserve">(1), 35-42.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Paramati</w:t>
      </w:r>
      <w:proofErr w:type="spellEnd"/>
      <w:r w:rsidRPr="00E22183">
        <w:rPr>
          <w:rFonts w:asciiTheme="majorBidi" w:hAnsiTheme="majorBidi" w:cstheme="majorBidi"/>
          <w:sz w:val="24"/>
          <w:szCs w:val="24"/>
        </w:rPr>
        <w:t xml:space="preserve">, S. R., &amp; Roca, E. (2019). Does tourism drive house prices in the OECD economies? Evidence from augmented mean group estimator. </w:t>
      </w:r>
      <w:r w:rsidRPr="00E22183">
        <w:rPr>
          <w:rFonts w:asciiTheme="majorBidi" w:hAnsiTheme="majorBidi" w:cstheme="majorBidi"/>
          <w:i/>
          <w:sz w:val="24"/>
          <w:szCs w:val="24"/>
        </w:rPr>
        <w:t>Tourism Management, 74</w:t>
      </w:r>
      <w:r w:rsidRPr="00E22183">
        <w:rPr>
          <w:rFonts w:asciiTheme="majorBidi" w:hAnsiTheme="majorBidi" w:cstheme="majorBidi"/>
          <w:sz w:val="24"/>
          <w:szCs w:val="24"/>
        </w:rPr>
        <w:t xml:space="preserve">, 392-395.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Peng, M. Y. P., Liang, Z., Fatima, I., Wang, Q., &amp; Rasheed, M. I. (2023). The nexus between empowering leadership, job engagement and employee creativity: role of creative self-efficacy in the hospitality industry. </w:t>
      </w:r>
      <w:r>
        <w:rPr>
          <w:rFonts w:ascii="Times New Roman" w:hAnsi="Times New Roman" w:cs="Times New Roman"/>
          <w:i/>
          <w:sz w:val="24"/>
          <w:szCs w:val="24"/>
        </w:rPr>
        <w:t>Kybernetes</w:t>
      </w:r>
      <w:r>
        <w:rPr>
          <w:rFonts w:ascii="Times New Roman" w:hAnsi="Times New Roman" w:cs="Times New Roman"/>
          <w:sz w:val="24"/>
          <w:szCs w:val="24"/>
        </w:rPr>
        <w:t xml:space="preserve">.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Pitafi, A. H., Rasheed, M. I., Kanwal, S., &amp; Ren, M. (2020). Employee agility and enterprise social media: Role of information technology proficiency and work expertise. </w:t>
      </w:r>
      <w:r>
        <w:rPr>
          <w:rFonts w:ascii="Times New Roman" w:hAnsi="Times New Roman" w:cs="Times New Roman"/>
          <w:i/>
          <w:sz w:val="24"/>
          <w:szCs w:val="24"/>
        </w:rPr>
        <w:t>Technology in Society</w:t>
      </w:r>
      <w:r>
        <w:rPr>
          <w:rFonts w:ascii="Times New Roman" w:hAnsi="Times New Roman" w:cs="Times New Roman"/>
          <w:sz w:val="24"/>
          <w:szCs w:val="24"/>
        </w:rPr>
        <w:t xml:space="preserve">, 101333.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Pitafi</w:t>
      </w:r>
      <w:proofErr w:type="spellEnd"/>
      <w:r w:rsidRPr="00E22183">
        <w:rPr>
          <w:rFonts w:asciiTheme="majorBidi" w:hAnsiTheme="majorBidi" w:cstheme="majorBidi"/>
          <w:sz w:val="24"/>
          <w:szCs w:val="24"/>
        </w:rPr>
        <w:t xml:space="preserve">, A. H., Khan, A. N., Khan, N. A., &amp; Ren, M. (2020). Using enterprise social media to investigate the effect of workplace conflict on employee creativity. </w:t>
      </w:r>
      <w:r w:rsidRPr="00E22183">
        <w:rPr>
          <w:rFonts w:asciiTheme="majorBidi" w:hAnsiTheme="majorBidi" w:cstheme="majorBidi"/>
          <w:i/>
          <w:sz w:val="24"/>
          <w:szCs w:val="24"/>
        </w:rPr>
        <w:t>Telematics and Informatics</w:t>
      </w:r>
      <w:r w:rsidRPr="00E22183">
        <w:rPr>
          <w:rFonts w:asciiTheme="majorBidi" w:hAnsiTheme="majorBidi" w:cstheme="majorBidi"/>
          <w:sz w:val="24"/>
          <w:szCs w:val="24"/>
        </w:rPr>
        <w:t xml:space="preserve">, 101451.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Plaza, M. N. (2021). </w:t>
      </w:r>
      <w:r w:rsidRPr="00E22183">
        <w:rPr>
          <w:rFonts w:asciiTheme="majorBidi" w:hAnsiTheme="majorBidi" w:cstheme="majorBidi"/>
          <w:i/>
          <w:sz w:val="24"/>
          <w:szCs w:val="24"/>
        </w:rPr>
        <w:t>Housing Preference and Affordability of Buyers in Global Housing Market.</w:t>
      </w:r>
      <w:r w:rsidRPr="00E22183">
        <w:rPr>
          <w:rFonts w:asciiTheme="majorBidi" w:hAnsiTheme="majorBidi" w:cstheme="majorBidi"/>
          <w:sz w:val="24"/>
          <w:szCs w:val="24"/>
        </w:rPr>
        <w:t xml:space="preserve"> Paper presented at the </w:t>
      </w:r>
      <w:proofErr w:type="spellStart"/>
      <w:r w:rsidRPr="00E22183">
        <w:rPr>
          <w:rFonts w:asciiTheme="majorBidi" w:hAnsiTheme="majorBidi" w:cstheme="majorBidi"/>
          <w:sz w:val="24"/>
          <w:szCs w:val="24"/>
        </w:rPr>
        <w:t>Ascendens</w:t>
      </w:r>
      <w:proofErr w:type="spellEnd"/>
      <w:r w:rsidRPr="00E22183">
        <w:rPr>
          <w:rFonts w:asciiTheme="majorBidi" w:hAnsiTheme="majorBidi" w:cstheme="majorBidi"/>
          <w:sz w:val="24"/>
          <w:szCs w:val="24"/>
        </w:rPr>
        <w:t xml:space="preserve"> Asia Journal of Multidisciplinary Research Conference Proceedings.</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Podsakoff, P. M., </w:t>
      </w:r>
      <w:proofErr w:type="spellStart"/>
      <w:r w:rsidRPr="00E22183">
        <w:rPr>
          <w:rFonts w:asciiTheme="majorBidi" w:hAnsiTheme="majorBidi" w:cstheme="majorBidi"/>
          <w:sz w:val="24"/>
          <w:szCs w:val="24"/>
        </w:rPr>
        <w:t>MacKenzie</w:t>
      </w:r>
      <w:proofErr w:type="spellEnd"/>
      <w:r w:rsidRPr="00E22183">
        <w:rPr>
          <w:rFonts w:asciiTheme="majorBidi" w:hAnsiTheme="majorBidi" w:cstheme="majorBidi"/>
          <w:sz w:val="24"/>
          <w:szCs w:val="24"/>
        </w:rPr>
        <w:t xml:space="preserve">, S. B., &amp; Podsakoff, N. P. (2012). Sources of method bias in social science research and recommendations on how to control it. </w:t>
      </w:r>
      <w:r w:rsidRPr="00E22183">
        <w:rPr>
          <w:rFonts w:asciiTheme="majorBidi" w:hAnsiTheme="majorBidi" w:cstheme="majorBidi"/>
          <w:i/>
          <w:sz w:val="24"/>
          <w:szCs w:val="24"/>
        </w:rPr>
        <w:t>Annual review of psychology, 63</w:t>
      </w:r>
      <w:r w:rsidRPr="00E22183">
        <w:rPr>
          <w:rFonts w:asciiTheme="majorBidi" w:hAnsiTheme="majorBidi" w:cstheme="majorBidi"/>
          <w:sz w:val="24"/>
          <w:szCs w:val="24"/>
        </w:rPr>
        <w:t xml:space="preserve">, 539-569.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Pope, N. D., Gibson, A., Engelhardt, E., Ratliff, S., </w:t>
      </w:r>
      <w:proofErr w:type="spellStart"/>
      <w:r w:rsidRPr="00E22183">
        <w:rPr>
          <w:rFonts w:asciiTheme="majorBidi" w:hAnsiTheme="majorBidi" w:cstheme="majorBidi"/>
          <w:sz w:val="24"/>
          <w:szCs w:val="24"/>
        </w:rPr>
        <w:t>Lewinson</w:t>
      </w:r>
      <w:proofErr w:type="spellEnd"/>
      <w:r w:rsidRPr="00E22183">
        <w:rPr>
          <w:rFonts w:asciiTheme="majorBidi" w:hAnsiTheme="majorBidi" w:cstheme="majorBidi"/>
          <w:sz w:val="24"/>
          <w:szCs w:val="24"/>
        </w:rPr>
        <w:t xml:space="preserve">, T., &amp; Loeffler, D. N. (2023). Conversations about community, connection to place, and housing preferences among aging adults in Lexington, Kentucky. </w:t>
      </w:r>
      <w:r w:rsidRPr="00E22183">
        <w:rPr>
          <w:rFonts w:asciiTheme="majorBidi" w:hAnsiTheme="majorBidi" w:cstheme="majorBidi"/>
          <w:i/>
          <w:sz w:val="24"/>
          <w:szCs w:val="24"/>
        </w:rPr>
        <w:t>Journal of Gerontological Social Work, 66</w:t>
      </w:r>
      <w:r w:rsidRPr="00E22183">
        <w:rPr>
          <w:rFonts w:asciiTheme="majorBidi" w:hAnsiTheme="majorBidi" w:cstheme="majorBidi"/>
          <w:sz w:val="24"/>
          <w:szCs w:val="24"/>
        </w:rPr>
        <w:t xml:space="preserve">(1), 64-82.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Pournarani</w:t>
      </w:r>
      <w:proofErr w:type="spellEnd"/>
      <w:r w:rsidRPr="00E22183">
        <w:rPr>
          <w:rFonts w:asciiTheme="majorBidi" w:hAnsiTheme="majorBidi" w:cstheme="majorBidi"/>
          <w:sz w:val="24"/>
          <w:szCs w:val="24"/>
        </w:rPr>
        <w:t xml:space="preserve">, R., </w:t>
      </w:r>
      <w:proofErr w:type="spellStart"/>
      <w:r w:rsidRPr="00E22183">
        <w:rPr>
          <w:rFonts w:asciiTheme="majorBidi" w:hAnsiTheme="majorBidi" w:cstheme="majorBidi"/>
          <w:sz w:val="24"/>
          <w:szCs w:val="24"/>
        </w:rPr>
        <w:t>Sharifabad</w:t>
      </w:r>
      <w:proofErr w:type="spellEnd"/>
      <w:r w:rsidRPr="00E22183">
        <w:rPr>
          <w:rFonts w:asciiTheme="majorBidi" w:hAnsiTheme="majorBidi" w:cstheme="majorBidi"/>
          <w:sz w:val="24"/>
          <w:szCs w:val="24"/>
        </w:rPr>
        <w:t xml:space="preserve">, M., &amp; </w:t>
      </w:r>
      <w:proofErr w:type="spellStart"/>
      <w:r w:rsidRPr="00E22183">
        <w:rPr>
          <w:rFonts w:asciiTheme="majorBidi" w:hAnsiTheme="majorBidi" w:cstheme="majorBidi"/>
          <w:sz w:val="24"/>
          <w:szCs w:val="24"/>
        </w:rPr>
        <w:t>Madadizadeh</w:t>
      </w:r>
      <w:proofErr w:type="spellEnd"/>
      <w:r w:rsidRPr="00E22183">
        <w:rPr>
          <w:rFonts w:asciiTheme="majorBidi" w:hAnsiTheme="majorBidi" w:cstheme="majorBidi"/>
          <w:sz w:val="24"/>
          <w:szCs w:val="24"/>
        </w:rPr>
        <w:t xml:space="preserve">, F. (2023). Factors Influencing Use of Integrated Pest Management in Greenhouses of </w:t>
      </w:r>
      <w:proofErr w:type="spellStart"/>
      <w:r w:rsidRPr="00E22183">
        <w:rPr>
          <w:rFonts w:asciiTheme="majorBidi" w:hAnsiTheme="majorBidi" w:cstheme="majorBidi"/>
          <w:sz w:val="24"/>
          <w:szCs w:val="24"/>
        </w:rPr>
        <w:t>Jiroft</w:t>
      </w:r>
      <w:proofErr w:type="spellEnd"/>
      <w:r w:rsidRPr="00E22183">
        <w:rPr>
          <w:rFonts w:asciiTheme="majorBidi" w:hAnsiTheme="majorBidi" w:cstheme="majorBidi"/>
          <w:sz w:val="24"/>
          <w:szCs w:val="24"/>
        </w:rPr>
        <w:t xml:space="preserve">, Kerman, Iran. </w:t>
      </w:r>
      <w:r w:rsidRPr="00E22183">
        <w:rPr>
          <w:rFonts w:asciiTheme="majorBidi" w:hAnsiTheme="majorBidi" w:cstheme="majorBidi"/>
          <w:i/>
          <w:sz w:val="24"/>
          <w:szCs w:val="24"/>
        </w:rPr>
        <w:t>Journal of Agricultural Science and Technology</w:t>
      </w:r>
      <w:r w:rsidRPr="00E22183">
        <w:rPr>
          <w:rFonts w:asciiTheme="majorBidi" w:hAnsiTheme="majorBidi" w:cstheme="majorBidi"/>
          <w:sz w:val="24"/>
          <w:szCs w:val="24"/>
        </w:rPr>
        <w:t xml:space="preserve">, 0-0.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Rasheed, M. I., Hameed, Z., Kaur, P., &amp; Dhir, A. (2023). Too sleepy to be innovative? Ethical leadership and employee service innovation behavior: A dual-path model moderated by sleep quality. </w:t>
      </w:r>
      <w:r>
        <w:rPr>
          <w:rFonts w:ascii="Times New Roman" w:hAnsi="Times New Roman" w:cs="Times New Roman"/>
          <w:i/>
          <w:sz w:val="24"/>
          <w:szCs w:val="24"/>
        </w:rPr>
        <w:t>Human Relations</w:t>
      </w:r>
      <w:r>
        <w:rPr>
          <w:rFonts w:ascii="Times New Roman" w:hAnsi="Times New Roman" w:cs="Times New Roman"/>
          <w:sz w:val="24"/>
          <w:szCs w:val="24"/>
        </w:rPr>
        <w:t xml:space="preserve">, 00187267231163040.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Rasheed, M. I., Jamad, W. N., Pitafi, A. H., &amp; Iqbal, S. M. J. (2020). Perceived compensation fairness, job design, and employee motivation: The mediating role of working environment. </w:t>
      </w:r>
      <w:r>
        <w:rPr>
          <w:rFonts w:ascii="Times New Roman" w:hAnsi="Times New Roman" w:cs="Times New Roman"/>
          <w:i/>
          <w:sz w:val="24"/>
          <w:szCs w:val="24"/>
        </w:rPr>
        <w:t>South Asian Journal of Management, 14</w:t>
      </w:r>
      <w:r>
        <w:rPr>
          <w:rFonts w:ascii="Times New Roman" w:hAnsi="Times New Roman" w:cs="Times New Roman"/>
          <w:sz w:val="24"/>
          <w:szCs w:val="24"/>
        </w:rPr>
        <w:t xml:space="preserve">(2), 229-246.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Rasheed, M. I., Malik, M. J., Pitafi, A. H., Iqbal, J., Anser, M. K., &amp; Abbas, M. (2020). Usage of social media, student engagement, and creativity: The role of knowledge sharing behavior and cyberbullying. </w:t>
      </w:r>
      <w:r>
        <w:rPr>
          <w:rFonts w:ascii="Times New Roman" w:hAnsi="Times New Roman" w:cs="Times New Roman"/>
          <w:i/>
          <w:sz w:val="24"/>
          <w:szCs w:val="24"/>
        </w:rPr>
        <w:t>Computers &amp; Education, 159</w:t>
      </w:r>
      <w:r>
        <w:rPr>
          <w:rFonts w:ascii="Times New Roman" w:hAnsi="Times New Roman" w:cs="Times New Roman"/>
          <w:sz w:val="24"/>
          <w:szCs w:val="24"/>
        </w:rPr>
        <w:t xml:space="preserve">, 104002.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Rasheed, M. I., Okumus, F., Weng, Q., Hameed, Z., &amp; Nawaz, M. S. (2020). Career adaptability and employee turnover intentions: The role of perceived career opportunities and orientation to happiness in the hospitality industry. </w:t>
      </w:r>
      <w:r>
        <w:rPr>
          <w:rFonts w:ascii="Times New Roman" w:hAnsi="Times New Roman" w:cs="Times New Roman"/>
          <w:i/>
          <w:sz w:val="24"/>
          <w:szCs w:val="24"/>
        </w:rPr>
        <w:t>Journal of Hospitality and Tourism Management, 44</w:t>
      </w:r>
      <w:r>
        <w:rPr>
          <w:rFonts w:ascii="Times New Roman" w:hAnsi="Times New Roman" w:cs="Times New Roman"/>
          <w:sz w:val="24"/>
          <w:szCs w:val="24"/>
        </w:rPr>
        <w:t xml:space="preserve">, 98-107.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Rasheed, M. I., Pitafi, A. H., Mishra, S., &amp; Chotia, V. (2023). When and how ESM affects creativity: The role of communication visibility and employee agility in a cross-cultural setting. </w:t>
      </w:r>
      <w:r>
        <w:rPr>
          <w:rFonts w:ascii="Times New Roman" w:hAnsi="Times New Roman" w:cs="Times New Roman"/>
          <w:i/>
          <w:sz w:val="24"/>
          <w:szCs w:val="24"/>
        </w:rPr>
        <w:t>Technological Forecasting and Social Change, 194</w:t>
      </w:r>
      <w:r>
        <w:rPr>
          <w:rFonts w:ascii="Times New Roman" w:hAnsi="Times New Roman" w:cs="Times New Roman"/>
          <w:sz w:val="24"/>
          <w:szCs w:val="24"/>
        </w:rPr>
        <w:t xml:space="preserve">, 122717.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Rasheed, M. I., &amp; Weng, Q. (2019). </w:t>
      </w:r>
      <w:r>
        <w:rPr>
          <w:rFonts w:ascii="Times New Roman" w:hAnsi="Times New Roman" w:cs="Times New Roman"/>
          <w:i/>
          <w:sz w:val="24"/>
          <w:szCs w:val="24"/>
        </w:rPr>
        <w:t>How to maintain career adaptability under abusive supervisor? The role of coworker support.</w:t>
      </w:r>
      <w:r>
        <w:rPr>
          <w:rFonts w:ascii="Times New Roman" w:hAnsi="Times New Roman" w:cs="Times New Roman"/>
          <w:sz w:val="24"/>
          <w:szCs w:val="24"/>
        </w:rPr>
        <w:t xml:space="preserve"> Paper presented at the academy of management proceedings.</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Rasheed, M. I., Weng, Q., Umrani, W. A., &amp; Moin, M. F. (2021). Abusive Supervision and Career Adaptability: The Role of Self-Efficacy and Coworker Support. </w:t>
      </w:r>
      <w:r>
        <w:rPr>
          <w:rFonts w:ascii="Times New Roman" w:hAnsi="Times New Roman" w:cs="Times New Roman"/>
          <w:i/>
          <w:sz w:val="24"/>
          <w:szCs w:val="24"/>
        </w:rPr>
        <w:t>Human Performance</w:t>
      </w:r>
      <w:r>
        <w:rPr>
          <w:rFonts w:ascii="Times New Roman" w:hAnsi="Times New Roman" w:cs="Times New Roman"/>
          <w:sz w:val="24"/>
          <w:szCs w:val="24"/>
        </w:rPr>
        <w:t xml:space="preserve">, 1-18.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Rasheed, M. I., Yousaf, H. D. A. S., &amp; Noor, A. (2011). A critical analysis of performance appraisal system for teachers in public sector universities of Pakistan: A case study of the Islamia University of Bahawalpur (IUB). </w:t>
      </w:r>
      <w:r>
        <w:rPr>
          <w:rFonts w:ascii="Times New Roman" w:hAnsi="Times New Roman" w:cs="Times New Roman"/>
          <w:i/>
          <w:sz w:val="24"/>
          <w:szCs w:val="24"/>
        </w:rPr>
        <w:t>African journal of business management, 5</w:t>
      </w:r>
      <w:r>
        <w:rPr>
          <w:rFonts w:ascii="Times New Roman" w:hAnsi="Times New Roman" w:cs="Times New Roman"/>
          <w:sz w:val="24"/>
          <w:szCs w:val="24"/>
        </w:rPr>
        <w:t xml:space="preserve">(9), 3735.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Rasheed, M. I., Malik, M. J., </w:t>
      </w:r>
      <w:proofErr w:type="spellStart"/>
      <w:r w:rsidRPr="00E22183">
        <w:rPr>
          <w:rFonts w:asciiTheme="majorBidi" w:hAnsiTheme="majorBidi" w:cstheme="majorBidi"/>
          <w:sz w:val="24"/>
          <w:szCs w:val="24"/>
        </w:rPr>
        <w:t>Pitafi</w:t>
      </w:r>
      <w:proofErr w:type="spellEnd"/>
      <w:r w:rsidRPr="00E22183">
        <w:rPr>
          <w:rFonts w:asciiTheme="majorBidi" w:hAnsiTheme="majorBidi" w:cstheme="majorBidi"/>
          <w:sz w:val="24"/>
          <w:szCs w:val="24"/>
        </w:rPr>
        <w:t xml:space="preserve">, A. H., Iqbal, J., </w:t>
      </w:r>
      <w:proofErr w:type="spellStart"/>
      <w:r w:rsidRPr="00E22183">
        <w:rPr>
          <w:rFonts w:asciiTheme="majorBidi" w:hAnsiTheme="majorBidi" w:cstheme="majorBidi"/>
          <w:sz w:val="24"/>
          <w:szCs w:val="24"/>
        </w:rPr>
        <w:t>Anser</w:t>
      </w:r>
      <w:proofErr w:type="spellEnd"/>
      <w:r w:rsidRPr="00E22183">
        <w:rPr>
          <w:rFonts w:asciiTheme="majorBidi" w:hAnsiTheme="majorBidi" w:cstheme="majorBidi"/>
          <w:sz w:val="24"/>
          <w:szCs w:val="24"/>
        </w:rPr>
        <w:t xml:space="preserve">, M. K., &amp; Abbas, M. (2020). Usage of social media, student engagement, and creativity: The role of knowledge sharing behavior and cyberbullying. </w:t>
      </w:r>
      <w:r w:rsidRPr="00E22183">
        <w:rPr>
          <w:rFonts w:asciiTheme="majorBidi" w:hAnsiTheme="majorBidi" w:cstheme="majorBidi"/>
          <w:i/>
          <w:sz w:val="24"/>
          <w:szCs w:val="24"/>
        </w:rPr>
        <w:t>Computers &amp; Education, 159</w:t>
      </w:r>
      <w:r w:rsidRPr="00E22183">
        <w:rPr>
          <w:rFonts w:asciiTheme="majorBidi" w:hAnsiTheme="majorBidi" w:cstheme="majorBidi"/>
          <w:sz w:val="24"/>
          <w:szCs w:val="24"/>
        </w:rPr>
        <w:t xml:space="preserve">, 104002.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Saleem, S., Rasheed, M. I., Malik, M., &amp; Okumus, F. (2021). Employee-fit and turnover intentions: The role of job engagement and psychological contract violation in the hospitality industry. </w:t>
      </w:r>
      <w:r>
        <w:rPr>
          <w:rFonts w:ascii="Times New Roman" w:hAnsi="Times New Roman" w:cs="Times New Roman"/>
          <w:i/>
          <w:sz w:val="24"/>
          <w:szCs w:val="24"/>
        </w:rPr>
        <w:t>Journal of Hospitality and Tourism Management, 49</w:t>
      </w:r>
      <w:r>
        <w:rPr>
          <w:rFonts w:ascii="Times New Roman" w:hAnsi="Times New Roman" w:cs="Times New Roman"/>
          <w:sz w:val="24"/>
          <w:szCs w:val="24"/>
        </w:rPr>
        <w:t xml:space="preserve">, 385-395.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Sattar, M. A., Rasheed, M. I., Khan, I. U., Tariq, H., &amp; Iqbal, J. (2017). Why adaptable individuals perform better: The role of orientation to happiness. </w:t>
      </w:r>
      <w:r>
        <w:rPr>
          <w:rFonts w:ascii="Times New Roman" w:hAnsi="Times New Roman" w:cs="Times New Roman"/>
          <w:i/>
          <w:sz w:val="24"/>
          <w:szCs w:val="24"/>
        </w:rPr>
        <w:t>Australian Journal of Career Development, 26</w:t>
      </w:r>
      <w:r>
        <w:rPr>
          <w:rFonts w:ascii="Times New Roman" w:hAnsi="Times New Roman" w:cs="Times New Roman"/>
          <w:sz w:val="24"/>
          <w:szCs w:val="24"/>
        </w:rPr>
        <w:t xml:space="preserve">(3), 134-141.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Sajid, M. U., &amp; </w:t>
      </w:r>
      <w:proofErr w:type="spellStart"/>
      <w:r w:rsidRPr="00E22183">
        <w:rPr>
          <w:rFonts w:asciiTheme="majorBidi" w:hAnsiTheme="majorBidi" w:cstheme="majorBidi"/>
          <w:sz w:val="24"/>
          <w:szCs w:val="24"/>
        </w:rPr>
        <w:t>Bicer</w:t>
      </w:r>
      <w:proofErr w:type="spellEnd"/>
      <w:r w:rsidRPr="00E22183">
        <w:rPr>
          <w:rFonts w:asciiTheme="majorBidi" w:hAnsiTheme="majorBidi" w:cstheme="majorBidi"/>
          <w:sz w:val="24"/>
          <w:szCs w:val="24"/>
        </w:rPr>
        <w:t xml:space="preserve">, Y. (2023). Experimental investigation of spectrum selective nanofluids for thermal management of greenhouses in hot arid climates. </w:t>
      </w:r>
      <w:r w:rsidRPr="00E22183">
        <w:rPr>
          <w:rFonts w:asciiTheme="majorBidi" w:hAnsiTheme="majorBidi" w:cstheme="majorBidi"/>
          <w:i/>
          <w:sz w:val="24"/>
          <w:szCs w:val="24"/>
        </w:rPr>
        <w:t>Applied Thermal Engineering, 223</w:t>
      </w:r>
      <w:r w:rsidRPr="00E22183">
        <w:rPr>
          <w:rFonts w:asciiTheme="majorBidi" w:hAnsiTheme="majorBidi" w:cstheme="majorBidi"/>
          <w:sz w:val="24"/>
          <w:szCs w:val="24"/>
        </w:rPr>
        <w:t xml:space="preserve">, 120019.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Sánchez-Moral, S., Arellano, A., &amp; </w:t>
      </w:r>
      <w:proofErr w:type="spellStart"/>
      <w:r w:rsidRPr="00E22183">
        <w:rPr>
          <w:rFonts w:asciiTheme="majorBidi" w:hAnsiTheme="majorBidi" w:cstheme="majorBidi"/>
          <w:sz w:val="24"/>
          <w:szCs w:val="24"/>
        </w:rPr>
        <w:t>Díez-Pisonero</w:t>
      </w:r>
      <w:proofErr w:type="spellEnd"/>
      <w:r w:rsidRPr="00E22183">
        <w:rPr>
          <w:rFonts w:asciiTheme="majorBidi" w:hAnsiTheme="majorBidi" w:cstheme="majorBidi"/>
          <w:sz w:val="24"/>
          <w:szCs w:val="24"/>
        </w:rPr>
        <w:t xml:space="preserve">, R. (2022). Understanding the role of </w:t>
      </w:r>
      <w:proofErr w:type="spellStart"/>
      <w:r w:rsidRPr="00E22183">
        <w:rPr>
          <w:rFonts w:asciiTheme="majorBidi" w:hAnsiTheme="majorBidi" w:cstheme="majorBidi"/>
          <w:sz w:val="24"/>
          <w:szCs w:val="24"/>
        </w:rPr>
        <w:t>neighbourhood</w:t>
      </w:r>
      <w:proofErr w:type="spellEnd"/>
      <w:r w:rsidRPr="00E22183">
        <w:rPr>
          <w:rFonts w:asciiTheme="majorBidi" w:hAnsiTheme="majorBidi" w:cstheme="majorBidi"/>
          <w:sz w:val="24"/>
          <w:szCs w:val="24"/>
        </w:rPr>
        <w:t xml:space="preserve"> characteristics and distance to workplace in the residential location patterns of knowledge workers in large cities. </w:t>
      </w:r>
      <w:r w:rsidRPr="00E22183">
        <w:rPr>
          <w:rFonts w:asciiTheme="majorBidi" w:hAnsiTheme="majorBidi" w:cstheme="majorBidi"/>
          <w:i/>
          <w:sz w:val="24"/>
          <w:szCs w:val="24"/>
        </w:rPr>
        <w:t>Cities, 127</w:t>
      </w:r>
      <w:r w:rsidRPr="00E22183">
        <w:rPr>
          <w:rFonts w:asciiTheme="majorBidi" w:hAnsiTheme="majorBidi" w:cstheme="majorBidi"/>
          <w:sz w:val="24"/>
          <w:szCs w:val="24"/>
        </w:rPr>
        <w:t xml:space="preserve">, 103764.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Sun, Y., </w:t>
      </w:r>
      <w:proofErr w:type="spellStart"/>
      <w:r w:rsidRPr="00E22183">
        <w:rPr>
          <w:rFonts w:asciiTheme="majorBidi" w:hAnsiTheme="majorBidi" w:cstheme="majorBidi"/>
          <w:sz w:val="24"/>
          <w:szCs w:val="24"/>
        </w:rPr>
        <w:t>Pitafi</w:t>
      </w:r>
      <w:proofErr w:type="spellEnd"/>
      <w:r w:rsidRPr="00E22183">
        <w:rPr>
          <w:rFonts w:asciiTheme="majorBidi" w:hAnsiTheme="majorBidi" w:cstheme="majorBidi"/>
          <w:sz w:val="24"/>
          <w:szCs w:val="24"/>
        </w:rPr>
        <w:t xml:space="preserve">, A. H., Ghani, U., &amp; Islam, T. (2020). Social-cultural impacts of China-Pakistan Economic Corridor on the well-being of local community. </w:t>
      </w:r>
      <w:r w:rsidRPr="00E22183">
        <w:rPr>
          <w:rFonts w:asciiTheme="majorBidi" w:hAnsiTheme="majorBidi" w:cstheme="majorBidi"/>
          <w:i/>
          <w:sz w:val="24"/>
          <w:szCs w:val="24"/>
        </w:rPr>
        <w:t>Journal of Transport and Land Use, 13</w:t>
      </w:r>
      <w:r w:rsidRPr="00E22183">
        <w:rPr>
          <w:rFonts w:asciiTheme="majorBidi" w:hAnsiTheme="majorBidi" w:cstheme="majorBidi"/>
          <w:sz w:val="24"/>
          <w:szCs w:val="24"/>
        </w:rPr>
        <w:t xml:space="preserve">(1), 605-624.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Sung, M., &amp; Ki, J. (2023). Influence of educational and cultural facilities on apartment prices by size in Seoul: do residents’ preferred facilities influence the housing market? </w:t>
      </w:r>
      <w:r w:rsidRPr="00E22183">
        <w:rPr>
          <w:rFonts w:asciiTheme="majorBidi" w:hAnsiTheme="majorBidi" w:cstheme="majorBidi"/>
          <w:i/>
          <w:sz w:val="24"/>
          <w:szCs w:val="24"/>
        </w:rPr>
        <w:t>Housing Studies, 38</w:t>
      </w:r>
      <w:r w:rsidRPr="00E22183">
        <w:rPr>
          <w:rFonts w:asciiTheme="majorBidi" w:hAnsiTheme="majorBidi" w:cstheme="majorBidi"/>
          <w:sz w:val="24"/>
          <w:szCs w:val="24"/>
        </w:rPr>
        <w:t xml:space="preserve">(5), 814-840.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Tariq, F., Zafar, Z., Salman, M., Hasan, J., Nawaz, M., Gul, A., . . . Sheikh, N. B. (2018). Developing countries perspective on housing affordability: Recommendations for Pakistan. </w:t>
      </w:r>
      <w:r w:rsidRPr="00E22183">
        <w:rPr>
          <w:rFonts w:asciiTheme="majorBidi" w:hAnsiTheme="majorBidi" w:cstheme="majorBidi"/>
          <w:i/>
          <w:sz w:val="24"/>
          <w:szCs w:val="24"/>
        </w:rPr>
        <w:t>Technical Journal, 23</w:t>
      </w:r>
      <w:r w:rsidRPr="00E22183">
        <w:rPr>
          <w:rFonts w:asciiTheme="majorBidi" w:hAnsiTheme="majorBidi" w:cstheme="majorBidi"/>
          <w:sz w:val="24"/>
          <w:szCs w:val="24"/>
        </w:rPr>
        <w:t xml:space="preserve">(02), 1-10.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Tawalbeh</w:t>
      </w:r>
      <w:proofErr w:type="spellEnd"/>
      <w:r w:rsidRPr="00E22183">
        <w:rPr>
          <w:rFonts w:asciiTheme="majorBidi" w:hAnsiTheme="majorBidi" w:cstheme="majorBidi"/>
          <w:sz w:val="24"/>
          <w:szCs w:val="24"/>
        </w:rPr>
        <w:t xml:space="preserve">, M., </w:t>
      </w:r>
      <w:proofErr w:type="spellStart"/>
      <w:r w:rsidRPr="00E22183">
        <w:rPr>
          <w:rFonts w:asciiTheme="majorBidi" w:hAnsiTheme="majorBidi" w:cstheme="majorBidi"/>
          <w:sz w:val="24"/>
          <w:szCs w:val="24"/>
        </w:rPr>
        <w:t>Aljaghoub</w:t>
      </w:r>
      <w:proofErr w:type="spellEnd"/>
      <w:r w:rsidRPr="00E22183">
        <w:rPr>
          <w:rFonts w:asciiTheme="majorBidi" w:hAnsiTheme="majorBidi" w:cstheme="majorBidi"/>
          <w:sz w:val="24"/>
          <w:szCs w:val="24"/>
        </w:rPr>
        <w:t xml:space="preserve">, H., </w:t>
      </w:r>
      <w:proofErr w:type="spellStart"/>
      <w:r w:rsidRPr="00E22183">
        <w:rPr>
          <w:rFonts w:asciiTheme="majorBidi" w:hAnsiTheme="majorBidi" w:cstheme="majorBidi"/>
          <w:sz w:val="24"/>
          <w:szCs w:val="24"/>
        </w:rPr>
        <w:t>Alami</w:t>
      </w:r>
      <w:proofErr w:type="spellEnd"/>
      <w:r w:rsidRPr="00E22183">
        <w:rPr>
          <w:rFonts w:asciiTheme="majorBidi" w:hAnsiTheme="majorBidi" w:cstheme="majorBidi"/>
          <w:sz w:val="24"/>
          <w:szCs w:val="24"/>
        </w:rPr>
        <w:t xml:space="preserve">, A. H., &amp; </w:t>
      </w:r>
      <w:proofErr w:type="spellStart"/>
      <w:r w:rsidRPr="00E22183">
        <w:rPr>
          <w:rFonts w:asciiTheme="majorBidi" w:hAnsiTheme="majorBidi" w:cstheme="majorBidi"/>
          <w:sz w:val="24"/>
          <w:szCs w:val="24"/>
        </w:rPr>
        <w:t>Olabi</w:t>
      </w:r>
      <w:proofErr w:type="spellEnd"/>
      <w:r w:rsidRPr="00E22183">
        <w:rPr>
          <w:rFonts w:asciiTheme="majorBidi" w:hAnsiTheme="majorBidi" w:cstheme="majorBidi"/>
          <w:sz w:val="24"/>
          <w:szCs w:val="24"/>
        </w:rPr>
        <w:t xml:space="preserve">, A. G. (2023). Selection criteria of cooling technologies for sustainable greenhouses: A comprehensive review. </w:t>
      </w:r>
      <w:r w:rsidRPr="00E22183">
        <w:rPr>
          <w:rFonts w:asciiTheme="majorBidi" w:hAnsiTheme="majorBidi" w:cstheme="majorBidi"/>
          <w:i/>
          <w:sz w:val="24"/>
          <w:szCs w:val="24"/>
        </w:rPr>
        <w:t>Thermal Science and Engineering Progress</w:t>
      </w:r>
      <w:r w:rsidRPr="00E22183">
        <w:rPr>
          <w:rFonts w:asciiTheme="majorBidi" w:hAnsiTheme="majorBidi" w:cstheme="majorBidi"/>
          <w:sz w:val="24"/>
          <w:szCs w:val="24"/>
        </w:rPr>
        <w:t xml:space="preserve">, 101666.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Thanaraju</w:t>
      </w:r>
      <w:proofErr w:type="spellEnd"/>
      <w:r w:rsidRPr="00E22183">
        <w:rPr>
          <w:rFonts w:asciiTheme="majorBidi" w:hAnsiTheme="majorBidi" w:cstheme="majorBidi"/>
          <w:sz w:val="24"/>
          <w:szCs w:val="24"/>
        </w:rPr>
        <w:t xml:space="preserve">, P., Khan, P. A. M., </w:t>
      </w:r>
      <w:proofErr w:type="spellStart"/>
      <w:r w:rsidRPr="00E22183">
        <w:rPr>
          <w:rFonts w:asciiTheme="majorBidi" w:hAnsiTheme="majorBidi" w:cstheme="majorBidi"/>
          <w:sz w:val="24"/>
          <w:szCs w:val="24"/>
        </w:rPr>
        <w:t>Juhari</w:t>
      </w:r>
      <w:proofErr w:type="spellEnd"/>
      <w:r w:rsidRPr="00E22183">
        <w:rPr>
          <w:rFonts w:asciiTheme="majorBidi" w:hAnsiTheme="majorBidi" w:cstheme="majorBidi"/>
          <w:sz w:val="24"/>
          <w:szCs w:val="24"/>
        </w:rPr>
        <w:t xml:space="preserve">, N. H., </w:t>
      </w:r>
      <w:proofErr w:type="spellStart"/>
      <w:r w:rsidRPr="00E22183">
        <w:rPr>
          <w:rFonts w:asciiTheme="majorBidi" w:hAnsiTheme="majorBidi" w:cstheme="majorBidi"/>
          <w:sz w:val="24"/>
          <w:szCs w:val="24"/>
        </w:rPr>
        <w:t>Sivanathan</w:t>
      </w:r>
      <w:proofErr w:type="spellEnd"/>
      <w:r w:rsidRPr="00E22183">
        <w:rPr>
          <w:rFonts w:asciiTheme="majorBidi" w:hAnsiTheme="majorBidi" w:cstheme="majorBidi"/>
          <w:sz w:val="24"/>
          <w:szCs w:val="24"/>
        </w:rPr>
        <w:t xml:space="preserve">, S., &amp; </w:t>
      </w:r>
      <w:proofErr w:type="spellStart"/>
      <w:r w:rsidRPr="00E22183">
        <w:rPr>
          <w:rFonts w:asciiTheme="majorBidi" w:hAnsiTheme="majorBidi" w:cstheme="majorBidi"/>
          <w:sz w:val="24"/>
          <w:szCs w:val="24"/>
        </w:rPr>
        <w:t>Khair</w:t>
      </w:r>
      <w:proofErr w:type="spellEnd"/>
      <w:r w:rsidRPr="00E22183">
        <w:rPr>
          <w:rFonts w:asciiTheme="majorBidi" w:hAnsiTheme="majorBidi" w:cstheme="majorBidi"/>
          <w:sz w:val="24"/>
          <w:szCs w:val="24"/>
        </w:rPr>
        <w:t xml:space="preserve">, N. M. (2019). Factors affecting the housing preferences of homebuyers in Kuala Lumpur. </w:t>
      </w:r>
      <w:r w:rsidRPr="00E22183">
        <w:rPr>
          <w:rFonts w:asciiTheme="majorBidi" w:hAnsiTheme="majorBidi" w:cstheme="majorBidi"/>
          <w:i/>
          <w:sz w:val="24"/>
          <w:szCs w:val="24"/>
        </w:rPr>
        <w:t>Planning Malaysia, 17</w:t>
      </w:r>
      <w:r w:rsidRPr="00E22183">
        <w:rPr>
          <w:rFonts w:asciiTheme="majorBidi" w:hAnsiTheme="majorBidi" w:cstheme="majorBidi"/>
          <w:sz w:val="24"/>
          <w:szCs w:val="24"/>
        </w:rPr>
        <w:t xml:space="preserve">.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Umrani, W. A., Ahmad, I., Rasheed, M. I., Ahmed, U., Pahi, M. H., Jhatial, A., &amp; Abbsai, G. A. (2022). Managing intellectual capital: role of corporate entrepreneurship and absorptive capacity on firm performance. </w:t>
      </w:r>
      <w:r>
        <w:rPr>
          <w:rFonts w:ascii="Times New Roman" w:hAnsi="Times New Roman" w:cs="Times New Roman"/>
          <w:i/>
          <w:sz w:val="24"/>
          <w:szCs w:val="24"/>
        </w:rPr>
        <w:t>Knowledge Management Research &amp; Practice, 20</w:t>
      </w:r>
      <w:r>
        <w:rPr>
          <w:rFonts w:ascii="Times New Roman" w:hAnsi="Times New Roman" w:cs="Times New Roman"/>
          <w:sz w:val="24"/>
          <w:szCs w:val="24"/>
        </w:rPr>
        <w:t xml:space="preserve">(5), 719-731.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Yousaf, S., Humayon, A. A., Rasheed, M. I., Ahmed, H. M., &amp; Danish, R. Q. (2014). Factors affecting retention of female employees in organizations. </w:t>
      </w:r>
      <w:r>
        <w:rPr>
          <w:rFonts w:ascii="Times New Roman" w:hAnsi="Times New Roman" w:cs="Times New Roman"/>
          <w:i/>
          <w:sz w:val="24"/>
          <w:szCs w:val="24"/>
        </w:rPr>
        <w:t>Journal of Basic and Applied Scientific Research, 4</w:t>
      </w:r>
      <w:r>
        <w:rPr>
          <w:rFonts w:ascii="Times New Roman" w:hAnsi="Times New Roman" w:cs="Times New Roman"/>
          <w:sz w:val="24"/>
          <w:szCs w:val="24"/>
        </w:rPr>
        <w:t xml:space="preserve">(7), 1-9.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Yousaf, S., Rasheed, M. I., Hameed, Z., &amp; Luqman, A. (2020). Occupational stress and its outcomes: the role of work-social support in the hospitality industry. </w:t>
      </w:r>
      <w:r>
        <w:rPr>
          <w:rFonts w:ascii="Times New Roman" w:hAnsi="Times New Roman" w:cs="Times New Roman"/>
          <w:i/>
          <w:sz w:val="24"/>
          <w:szCs w:val="24"/>
        </w:rPr>
        <w:t>Personnel Review, 49</w:t>
      </w:r>
      <w:r>
        <w:rPr>
          <w:rFonts w:ascii="Times New Roman" w:hAnsi="Times New Roman" w:cs="Times New Roman"/>
          <w:sz w:val="24"/>
          <w:szCs w:val="24"/>
        </w:rPr>
        <w:t xml:space="preserve">(3), 755-773. </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Yousaf, S., Rasheed, M. I., Kaur, P., Islam, N., &amp; Dhir, A. (2022). The dark side of phubbing in the workplace: Investigating the role of intrinsic motivation and the use of enterprise social media (ESM) in a cross-cultural setting. </w:t>
      </w:r>
      <w:r>
        <w:rPr>
          <w:rFonts w:ascii="Times New Roman" w:hAnsi="Times New Roman" w:cs="Times New Roman"/>
          <w:i/>
          <w:sz w:val="24"/>
          <w:szCs w:val="24"/>
        </w:rPr>
        <w:t>Journal of Business Research, 143</w:t>
      </w:r>
      <w:r>
        <w:rPr>
          <w:rFonts w:ascii="Times New Roman" w:hAnsi="Times New Roman" w:cs="Times New Roman"/>
          <w:sz w:val="24"/>
          <w:szCs w:val="24"/>
        </w:rPr>
        <w:t xml:space="preserve">, 81-93.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Weidinger</w:t>
      </w:r>
      <w:proofErr w:type="spellEnd"/>
      <w:r w:rsidRPr="00E22183">
        <w:rPr>
          <w:rFonts w:asciiTheme="majorBidi" w:hAnsiTheme="majorBidi" w:cstheme="majorBidi"/>
          <w:sz w:val="24"/>
          <w:szCs w:val="24"/>
        </w:rPr>
        <w:t xml:space="preserve">, T., &amp; </w:t>
      </w:r>
      <w:proofErr w:type="spellStart"/>
      <w:r w:rsidRPr="00E22183">
        <w:rPr>
          <w:rFonts w:asciiTheme="majorBidi" w:hAnsiTheme="majorBidi" w:cstheme="majorBidi"/>
          <w:sz w:val="24"/>
          <w:szCs w:val="24"/>
        </w:rPr>
        <w:t>Kordel</w:t>
      </w:r>
      <w:proofErr w:type="spellEnd"/>
      <w:r w:rsidRPr="00E22183">
        <w:rPr>
          <w:rFonts w:asciiTheme="majorBidi" w:hAnsiTheme="majorBidi" w:cstheme="majorBidi"/>
          <w:sz w:val="24"/>
          <w:szCs w:val="24"/>
        </w:rPr>
        <w:t xml:space="preserve">, S. (2023). Access to and exclusion from housing over time: Refugees' experiences in rural areas. </w:t>
      </w:r>
      <w:r w:rsidRPr="00E22183">
        <w:rPr>
          <w:rFonts w:asciiTheme="majorBidi" w:hAnsiTheme="majorBidi" w:cstheme="majorBidi"/>
          <w:i/>
          <w:sz w:val="24"/>
          <w:szCs w:val="24"/>
        </w:rPr>
        <w:t>International Migration, 61</w:t>
      </w:r>
      <w:r w:rsidRPr="00E22183">
        <w:rPr>
          <w:rFonts w:asciiTheme="majorBidi" w:hAnsiTheme="majorBidi" w:cstheme="majorBidi"/>
          <w:sz w:val="24"/>
          <w:szCs w:val="24"/>
        </w:rPr>
        <w:t xml:space="preserve">(3), 54-71.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Wu, F. (2010). Housing environment preference of young consumers in Guangzhou, China: Using the analytic hierarchy process. </w:t>
      </w:r>
      <w:r w:rsidRPr="00E22183">
        <w:rPr>
          <w:rFonts w:asciiTheme="majorBidi" w:hAnsiTheme="majorBidi" w:cstheme="majorBidi"/>
          <w:i/>
          <w:sz w:val="24"/>
          <w:szCs w:val="24"/>
        </w:rPr>
        <w:t>Property Management, 28</w:t>
      </w:r>
      <w:r w:rsidRPr="00E22183">
        <w:rPr>
          <w:rFonts w:asciiTheme="majorBidi" w:hAnsiTheme="majorBidi" w:cstheme="majorBidi"/>
          <w:sz w:val="24"/>
          <w:szCs w:val="24"/>
        </w:rPr>
        <w:t xml:space="preserve">(3), 174-192.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Xing, L., Liu, Y., Wang, B., Wang, Y., &amp; Liu, H. (2020). An environmental justice study on spatial access to parks for youth by using an improved 2SFCA method in Wuhan, China. </w:t>
      </w:r>
      <w:r w:rsidRPr="00E22183">
        <w:rPr>
          <w:rFonts w:asciiTheme="majorBidi" w:hAnsiTheme="majorBidi" w:cstheme="majorBidi"/>
          <w:i/>
          <w:sz w:val="24"/>
          <w:szCs w:val="24"/>
        </w:rPr>
        <w:t>Cities, 96</w:t>
      </w:r>
      <w:r w:rsidRPr="00E22183">
        <w:rPr>
          <w:rFonts w:asciiTheme="majorBidi" w:hAnsiTheme="majorBidi" w:cstheme="majorBidi"/>
          <w:sz w:val="24"/>
          <w:szCs w:val="24"/>
        </w:rPr>
        <w:t xml:space="preserve">, 102405.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Xu, A., </w:t>
      </w:r>
      <w:proofErr w:type="spellStart"/>
      <w:r w:rsidRPr="00E22183">
        <w:rPr>
          <w:rFonts w:asciiTheme="majorBidi" w:hAnsiTheme="majorBidi" w:cstheme="majorBidi"/>
          <w:sz w:val="24"/>
          <w:szCs w:val="24"/>
        </w:rPr>
        <w:t>Pitafi</w:t>
      </w:r>
      <w:proofErr w:type="spellEnd"/>
      <w:r w:rsidRPr="00E22183">
        <w:rPr>
          <w:rFonts w:asciiTheme="majorBidi" w:hAnsiTheme="majorBidi" w:cstheme="majorBidi"/>
          <w:sz w:val="24"/>
          <w:szCs w:val="24"/>
        </w:rPr>
        <w:t xml:space="preserve">, A. H., &amp; Shang, Y. Investigating the Impact of the External Environment and Benchmark characteristics on the China-Pakistan Economic Corridor’s Construction: A COVID-19 Perspective. </w:t>
      </w:r>
      <w:r w:rsidRPr="00E22183">
        <w:rPr>
          <w:rFonts w:asciiTheme="majorBidi" w:hAnsiTheme="majorBidi" w:cstheme="majorBidi"/>
          <w:i/>
          <w:sz w:val="24"/>
          <w:szCs w:val="24"/>
        </w:rPr>
        <w:t>Frontiers in psychology</w:t>
      </w:r>
      <w:r w:rsidRPr="00E22183">
        <w:rPr>
          <w:rFonts w:asciiTheme="majorBidi" w:hAnsiTheme="majorBidi" w:cstheme="majorBidi"/>
          <w:sz w:val="24"/>
          <w:szCs w:val="24"/>
        </w:rPr>
        <w:t xml:space="preserve">, 6507.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Younis, A., </w:t>
      </w:r>
      <w:proofErr w:type="spellStart"/>
      <w:r w:rsidRPr="00E22183">
        <w:rPr>
          <w:rFonts w:asciiTheme="majorBidi" w:hAnsiTheme="majorBidi" w:cstheme="majorBidi"/>
          <w:sz w:val="24"/>
          <w:szCs w:val="24"/>
        </w:rPr>
        <w:t>Xiaobao</w:t>
      </w:r>
      <w:proofErr w:type="spellEnd"/>
      <w:r w:rsidRPr="00E22183">
        <w:rPr>
          <w:rFonts w:asciiTheme="majorBidi" w:hAnsiTheme="majorBidi" w:cstheme="majorBidi"/>
          <w:sz w:val="24"/>
          <w:szCs w:val="24"/>
        </w:rPr>
        <w:t xml:space="preserve">, P., Nadeem, M. A., Kanwal, S., </w:t>
      </w:r>
      <w:proofErr w:type="spellStart"/>
      <w:r w:rsidRPr="00E22183">
        <w:rPr>
          <w:rFonts w:asciiTheme="majorBidi" w:hAnsiTheme="majorBidi" w:cstheme="majorBidi"/>
          <w:sz w:val="24"/>
          <w:szCs w:val="24"/>
        </w:rPr>
        <w:t>Pitafi</w:t>
      </w:r>
      <w:proofErr w:type="spellEnd"/>
      <w:r w:rsidRPr="00E22183">
        <w:rPr>
          <w:rFonts w:asciiTheme="majorBidi" w:hAnsiTheme="majorBidi" w:cstheme="majorBidi"/>
          <w:sz w:val="24"/>
          <w:szCs w:val="24"/>
        </w:rPr>
        <w:t xml:space="preserve">, A. H., </w:t>
      </w:r>
      <w:proofErr w:type="spellStart"/>
      <w:r w:rsidRPr="00E22183">
        <w:rPr>
          <w:rFonts w:asciiTheme="majorBidi" w:hAnsiTheme="majorBidi" w:cstheme="majorBidi"/>
          <w:sz w:val="24"/>
          <w:szCs w:val="24"/>
        </w:rPr>
        <w:t>Qiong</w:t>
      </w:r>
      <w:proofErr w:type="spellEnd"/>
      <w:r w:rsidRPr="00E22183">
        <w:rPr>
          <w:rFonts w:asciiTheme="majorBidi" w:hAnsiTheme="majorBidi" w:cstheme="majorBidi"/>
          <w:sz w:val="24"/>
          <w:szCs w:val="24"/>
        </w:rPr>
        <w:t xml:space="preserve">, G., &amp; Yuzhen, D. (2020). Impact of positivity and empathy on social entrepreneurial intention: The moderating role of perceived social support. </w:t>
      </w:r>
      <w:r w:rsidRPr="00E22183">
        <w:rPr>
          <w:rFonts w:asciiTheme="majorBidi" w:hAnsiTheme="majorBidi" w:cstheme="majorBidi"/>
          <w:i/>
          <w:sz w:val="24"/>
          <w:szCs w:val="24"/>
        </w:rPr>
        <w:t>Journal of Public Affairs</w:t>
      </w:r>
      <w:r w:rsidRPr="00E22183">
        <w:rPr>
          <w:rFonts w:asciiTheme="majorBidi" w:hAnsiTheme="majorBidi" w:cstheme="majorBidi"/>
          <w:sz w:val="24"/>
          <w:szCs w:val="24"/>
        </w:rPr>
        <w:t xml:space="preserve">, e2124. </w:t>
      </w:r>
    </w:p>
    <w:p w:rsidR="00E22183" w:rsidRPr="00E22183" w:rsidRDefault="00E22183" w:rsidP="00E22183">
      <w:pPr>
        <w:spacing w:after="0"/>
        <w:ind w:left="709" w:hanging="709"/>
        <w:jc w:val="both"/>
        <w:rPr>
          <w:rFonts w:asciiTheme="majorBidi" w:hAnsiTheme="majorBidi" w:cstheme="majorBidi"/>
          <w:sz w:val="24"/>
          <w:szCs w:val="24"/>
        </w:rPr>
      </w:pPr>
      <w:proofErr w:type="spellStart"/>
      <w:r w:rsidRPr="00E22183">
        <w:rPr>
          <w:rFonts w:asciiTheme="majorBidi" w:hAnsiTheme="majorBidi" w:cstheme="majorBidi"/>
          <w:sz w:val="24"/>
          <w:szCs w:val="24"/>
        </w:rPr>
        <w:t>Zaidan</w:t>
      </w:r>
      <w:proofErr w:type="spellEnd"/>
      <w:r w:rsidRPr="00E22183">
        <w:rPr>
          <w:rFonts w:asciiTheme="majorBidi" w:hAnsiTheme="majorBidi" w:cstheme="majorBidi"/>
          <w:sz w:val="24"/>
          <w:szCs w:val="24"/>
        </w:rPr>
        <w:t xml:space="preserve">, E., </w:t>
      </w:r>
      <w:proofErr w:type="spellStart"/>
      <w:r w:rsidRPr="00E22183">
        <w:rPr>
          <w:rFonts w:asciiTheme="majorBidi" w:hAnsiTheme="majorBidi" w:cstheme="majorBidi"/>
          <w:sz w:val="24"/>
          <w:szCs w:val="24"/>
        </w:rPr>
        <w:t>Abulibdeh</w:t>
      </w:r>
      <w:proofErr w:type="spellEnd"/>
      <w:r w:rsidRPr="00E22183">
        <w:rPr>
          <w:rFonts w:asciiTheme="majorBidi" w:hAnsiTheme="majorBidi" w:cstheme="majorBidi"/>
          <w:sz w:val="24"/>
          <w:szCs w:val="24"/>
        </w:rPr>
        <w:t xml:space="preserve">, A., Alban, A., &amp; Jabbar, R. (2022). Motivation, preference, socioeconomic, and building features: New paradigm of analyzing electricity consumption in residential buildings. </w:t>
      </w:r>
      <w:r w:rsidRPr="00E22183">
        <w:rPr>
          <w:rFonts w:asciiTheme="majorBidi" w:hAnsiTheme="majorBidi" w:cstheme="majorBidi"/>
          <w:i/>
          <w:sz w:val="24"/>
          <w:szCs w:val="24"/>
        </w:rPr>
        <w:t>Building and Environment, 219</w:t>
      </w:r>
      <w:r w:rsidRPr="00E22183">
        <w:rPr>
          <w:rFonts w:asciiTheme="majorBidi" w:hAnsiTheme="majorBidi" w:cstheme="majorBidi"/>
          <w:sz w:val="24"/>
          <w:szCs w:val="24"/>
        </w:rPr>
        <w:t xml:space="preserve">, 109177. </w:t>
      </w:r>
    </w:p>
    <w:p w:rsidR="00E22183" w:rsidRPr="00E22183"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Zambrano-Monserrate, M. A., &amp; </w:t>
      </w:r>
      <w:proofErr w:type="spellStart"/>
      <w:r w:rsidRPr="00E22183">
        <w:rPr>
          <w:rFonts w:asciiTheme="majorBidi" w:hAnsiTheme="majorBidi" w:cstheme="majorBidi"/>
          <w:sz w:val="24"/>
          <w:szCs w:val="24"/>
        </w:rPr>
        <w:t>Ruano</w:t>
      </w:r>
      <w:proofErr w:type="spellEnd"/>
      <w:r w:rsidRPr="00E22183">
        <w:rPr>
          <w:rFonts w:asciiTheme="majorBidi" w:hAnsiTheme="majorBidi" w:cstheme="majorBidi"/>
          <w:sz w:val="24"/>
          <w:szCs w:val="24"/>
        </w:rPr>
        <w:t xml:space="preserve">, M. A. (2019). Does environmental noise affect housing rental prices in developing countries? Evidence from Ecuador. </w:t>
      </w:r>
      <w:r w:rsidRPr="00E22183">
        <w:rPr>
          <w:rFonts w:asciiTheme="majorBidi" w:hAnsiTheme="majorBidi" w:cstheme="majorBidi"/>
          <w:i/>
          <w:sz w:val="24"/>
          <w:szCs w:val="24"/>
        </w:rPr>
        <w:t>Land use policy, 87</w:t>
      </w:r>
      <w:r w:rsidRPr="00E22183">
        <w:rPr>
          <w:rFonts w:asciiTheme="majorBidi" w:hAnsiTheme="majorBidi" w:cstheme="majorBidi"/>
          <w:sz w:val="24"/>
          <w:szCs w:val="24"/>
        </w:rPr>
        <w:t xml:space="preserve">, 104059. </w:t>
      </w:r>
    </w:p>
    <w:p w:rsidR="008B5ABE" w:rsidRDefault="00E22183" w:rsidP="00E22183">
      <w:pPr>
        <w:spacing w:after="0"/>
        <w:ind w:left="709" w:hanging="709"/>
        <w:jc w:val="both"/>
        <w:rPr>
          <w:rFonts w:asciiTheme="majorBidi" w:hAnsiTheme="majorBidi" w:cstheme="majorBidi"/>
          <w:sz w:val="24"/>
          <w:szCs w:val="24"/>
        </w:rPr>
      </w:pPr>
      <w:r w:rsidRPr="00E22183">
        <w:rPr>
          <w:rFonts w:asciiTheme="majorBidi" w:hAnsiTheme="majorBidi" w:cstheme="majorBidi"/>
          <w:sz w:val="24"/>
          <w:szCs w:val="24"/>
        </w:rPr>
        <w:t xml:space="preserve">Zhu, J., Zhang, X., Hua, W., Ji, J., &amp; </w:t>
      </w:r>
      <w:proofErr w:type="spellStart"/>
      <w:r w:rsidRPr="00E22183">
        <w:rPr>
          <w:rFonts w:asciiTheme="majorBidi" w:hAnsiTheme="majorBidi" w:cstheme="majorBidi"/>
          <w:sz w:val="24"/>
          <w:szCs w:val="24"/>
        </w:rPr>
        <w:t>Lv</w:t>
      </w:r>
      <w:proofErr w:type="spellEnd"/>
      <w:r w:rsidRPr="00E22183">
        <w:rPr>
          <w:rFonts w:asciiTheme="majorBidi" w:hAnsiTheme="majorBidi" w:cstheme="majorBidi"/>
          <w:sz w:val="24"/>
          <w:szCs w:val="24"/>
        </w:rPr>
        <w:t xml:space="preserve">, X. (2023). Current status and development of research on phase change materials in agricultural greenhouses: A review. </w:t>
      </w:r>
      <w:r w:rsidRPr="00E22183">
        <w:rPr>
          <w:rFonts w:asciiTheme="majorBidi" w:hAnsiTheme="majorBidi" w:cstheme="majorBidi"/>
          <w:i/>
          <w:sz w:val="24"/>
          <w:szCs w:val="24"/>
        </w:rPr>
        <w:t>Journal of Energy Storage, 66</w:t>
      </w:r>
      <w:r w:rsidRPr="00E22183">
        <w:rPr>
          <w:rFonts w:asciiTheme="majorBidi" w:hAnsiTheme="majorBidi" w:cstheme="majorBidi"/>
          <w:sz w:val="24"/>
          <w:szCs w:val="24"/>
        </w:rPr>
        <w:t>, 107104.</w:t>
      </w:r>
    </w:p>
    <w:p w:rsidR="00534E2D" w:rsidRDefault="00534E2D" w:rsidP="00534E2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Zhang, Y., Rasheed, M. I., &amp; Luqman, A. (2020). Work–family conflict and turnover intentions among Chinese nurses: The combined role of job and life satisfaction and perceived supervisor support. </w:t>
      </w:r>
      <w:r>
        <w:rPr>
          <w:rFonts w:ascii="Times New Roman" w:hAnsi="Times New Roman" w:cs="Times New Roman"/>
          <w:i/>
          <w:sz w:val="24"/>
          <w:szCs w:val="24"/>
        </w:rPr>
        <w:t>Personnel Review, 49</w:t>
      </w:r>
      <w:r>
        <w:rPr>
          <w:rFonts w:ascii="Times New Roman" w:hAnsi="Times New Roman" w:cs="Times New Roman"/>
          <w:sz w:val="24"/>
          <w:szCs w:val="24"/>
        </w:rPr>
        <w:t xml:space="preserve">(5), 1140-1156. </w:t>
      </w:r>
    </w:p>
    <w:p w:rsidR="00534E2D" w:rsidRDefault="00534E2D" w:rsidP="00534E2D">
      <w:pPr>
        <w:pStyle w:val="EndNoteBibliography"/>
        <w:ind w:left="720" w:hanging="720"/>
        <w:rPr>
          <w:rFonts w:ascii="Times New Roman" w:hAnsi="Times New Roman" w:cs="Times New Roman"/>
          <w:sz w:val="24"/>
          <w:szCs w:val="24"/>
        </w:rPr>
      </w:pPr>
      <w:r>
        <w:rPr>
          <w:rFonts w:ascii="Times New Roman" w:hAnsi="Times New Roman" w:cs="Times New Roman"/>
          <w:sz w:val="24"/>
          <w:szCs w:val="24"/>
        </w:rPr>
        <w:t xml:space="preserve">Zhang, Y., Wu, S., &amp; Rasheed, M. I. (2020). Conscientiousness and smartphone recycling intention: The moderating effect of risk perception. </w:t>
      </w:r>
      <w:r>
        <w:rPr>
          <w:rFonts w:ascii="Times New Roman" w:hAnsi="Times New Roman" w:cs="Times New Roman"/>
          <w:i/>
          <w:sz w:val="24"/>
          <w:szCs w:val="24"/>
        </w:rPr>
        <w:t>Waste Management, 101</w:t>
      </w:r>
      <w:r>
        <w:rPr>
          <w:rFonts w:ascii="Times New Roman" w:hAnsi="Times New Roman" w:cs="Times New Roman"/>
          <w:sz w:val="24"/>
          <w:szCs w:val="24"/>
        </w:rPr>
        <w:t xml:space="preserve">, 116-125. </w:t>
      </w:r>
    </w:p>
    <w:p w:rsidR="00534E2D" w:rsidRPr="00E22183" w:rsidRDefault="00534E2D" w:rsidP="00E22183">
      <w:pPr>
        <w:spacing w:after="0"/>
        <w:ind w:left="709" w:hanging="709"/>
        <w:jc w:val="both"/>
        <w:rPr>
          <w:rFonts w:asciiTheme="majorBidi" w:hAnsiTheme="majorBidi" w:cstheme="majorBidi"/>
          <w:sz w:val="24"/>
          <w:szCs w:val="24"/>
        </w:rPr>
      </w:pPr>
    </w:p>
    <w:sectPr w:rsidR="00534E2D" w:rsidRPr="00E22183" w:rsidSect="00F05853">
      <w:headerReference w:type="default" r:id="rId12"/>
      <w:footerReference w:type="even" r:id="rId13"/>
      <w:footerReference w:type="default" r:id="rId14"/>
      <w:footerReference w:type="first" r:id="rId15"/>
      <w:pgSz w:w="12240" w:h="15840"/>
      <w:pgMar w:top="1440" w:right="1440" w:bottom="1440" w:left="1440" w:header="708" w:footer="708" w:gutter="0"/>
      <w:pgNumType w:start="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0BB5" w:rsidRDefault="00070BB5">
      <w:pPr>
        <w:spacing w:after="0" w:line="240" w:lineRule="auto"/>
      </w:pPr>
      <w:r>
        <w:separator/>
      </w:r>
    </w:p>
  </w:endnote>
  <w:endnote w:type="continuationSeparator" w:id="0">
    <w:p w:rsidR="00070BB5" w:rsidRDefault="0007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4767450"/>
      <w:docPartObj>
        <w:docPartGallery w:val="Page Numbers (Bottom of Page)"/>
        <w:docPartUnique/>
      </w:docPartObj>
    </w:sdtPr>
    <w:sdtContent>
      <w:p w:rsidR="00935264" w:rsidRDefault="00935264" w:rsidP="00F058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935264" w:rsidRDefault="00935264" w:rsidP="00935264">
    <w:pPr>
      <w:pStyle w:val="Footer"/>
      <w:ind w:right="360"/>
    </w:pPr>
  </w:p>
  <w:p w:rsidR="00935264" w:rsidRDefault="00935264"/>
  <w:p w:rsidR="00935264" w:rsidRDefault="009352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264" w:rsidRDefault="00935264"/>
  <w:sdt>
    <w:sdtPr>
      <w:rPr>
        <w:rStyle w:val="PageNumber"/>
        <w:sz w:val="18"/>
        <w:szCs w:val="18"/>
      </w:rPr>
      <w:id w:val="426778377"/>
      <w:docPartObj>
        <w:docPartGallery w:val="Page Numbers (Bottom of Page)"/>
        <w:docPartUnique/>
      </w:docPartObj>
    </w:sdtPr>
    <w:sdtContent>
      <w:p w:rsidR="00F05853" w:rsidRPr="00F05853" w:rsidRDefault="00F05853" w:rsidP="00F05853">
        <w:pPr>
          <w:pStyle w:val="Footer"/>
          <w:framePr w:wrap="none" w:vAnchor="text" w:hAnchor="page" w:x="10847" w:y="155"/>
          <w:rPr>
            <w:rStyle w:val="PageNumber"/>
            <w:sz w:val="18"/>
            <w:szCs w:val="18"/>
          </w:rPr>
        </w:pPr>
        <w:r w:rsidRPr="00F05853">
          <w:rPr>
            <w:rStyle w:val="PageNumber"/>
            <w:sz w:val="18"/>
            <w:szCs w:val="18"/>
          </w:rPr>
          <w:fldChar w:fldCharType="begin"/>
        </w:r>
        <w:r w:rsidRPr="00F05853">
          <w:rPr>
            <w:rStyle w:val="PageNumber"/>
            <w:sz w:val="18"/>
            <w:szCs w:val="18"/>
          </w:rPr>
          <w:instrText xml:space="preserve"> PAGE </w:instrText>
        </w:r>
        <w:r w:rsidRPr="00F05853">
          <w:rPr>
            <w:rStyle w:val="PageNumber"/>
            <w:sz w:val="18"/>
            <w:szCs w:val="18"/>
          </w:rPr>
          <w:fldChar w:fldCharType="separate"/>
        </w:r>
        <w:r w:rsidRPr="00F05853">
          <w:rPr>
            <w:rStyle w:val="PageNumber"/>
            <w:noProof/>
            <w:sz w:val="18"/>
            <w:szCs w:val="18"/>
          </w:rPr>
          <w:t>87</w:t>
        </w:r>
        <w:r w:rsidRPr="00F05853">
          <w:rPr>
            <w:rStyle w:val="PageNumber"/>
            <w:sz w:val="18"/>
            <w:szCs w:val="18"/>
          </w:rPr>
          <w:fldChar w:fldCharType="end"/>
        </w:r>
      </w:p>
    </w:sdtContent>
  </w:sdt>
  <w:p w:rsidR="00935264" w:rsidRDefault="009352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264" w:rsidRDefault="00935264" w:rsidP="009352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0BB5" w:rsidRDefault="00070BB5">
      <w:pPr>
        <w:spacing w:after="0" w:line="240" w:lineRule="auto"/>
      </w:pPr>
      <w:r>
        <w:separator/>
      </w:r>
    </w:p>
  </w:footnote>
  <w:footnote w:type="continuationSeparator" w:id="0">
    <w:p w:rsidR="00070BB5" w:rsidRDefault="00070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264" w:rsidRPr="003773E1" w:rsidRDefault="00935264" w:rsidP="00935264">
    <w:pPr>
      <w:spacing w:after="0"/>
      <w:rPr>
        <w:rFonts w:asciiTheme="majorBidi" w:hAnsiTheme="majorBidi" w:cstheme="majorBidi"/>
      </w:rPr>
    </w:pPr>
    <w:r w:rsidRPr="003773E1">
      <w:rPr>
        <w:rFonts w:asciiTheme="majorBidi" w:hAnsiTheme="majorBidi" w:cstheme="majorBidi"/>
        <w:color w:val="222E53"/>
      </w:rPr>
      <w:t xml:space="preserve">Journal of Tourism, Hospitality, and Services Industries Research (JTHS) </w:t>
    </w:r>
    <w:r w:rsidRPr="003773E1">
      <w:rPr>
        <w:rFonts w:asciiTheme="majorBidi" w:hAnsiTheme="majorBidi" w:cstheme="majorBidi"/>
        <w:color w:val="222E53"/>
      </w:rPr>
      <w:tab/>
      <w:t>Vol.</w:t>
    </w:r>
    <w:r>
      <w:rPr>
        <w:rFonts w:asciiTheme="majorBidi" w:hAnsiTheme="majorBidi" w:cstheme="majorBidi"/>
        <w:color w:val="000000" w:themeColor="text1"/>
      </w:rPr>
      <w:t>3</w:t>
    </w:r>
    <w:r w:rsidRPr="003773E1">
      <w:rPr>
        <w:rFonts w:asciiTheme="majorBidi" w:hAnsiTheme="majorBidi" w:cstheme="majorBidi"/>
        <w:color w:val="000000" w:themeColor="text1"/>
      </w:rPr>
      <w:t xml:space="preserve">, No.1, </w:t>
    </w:r>
    <w:r w:rsidR="00105822">
      <w:rPr>
        <w:rFonts w:asciiTheme="majorBidi" w:hAnsiTheme="majorBidi" w:cstheme="majorBidi"/>
        <w:color w:val="000000" w:themeColor="text1"/>
      </w:rPr>
      <w:t>July</w:t>
    </w:r>
    <w:r w:rsidRPr="003773E1">
      <w:rPr>
        <w:rFonts w:asciiTheme="majorBidi" w:hAnsiTheme="majorBidi" w:cstheme="majorBidi"/>
        <w:color w:val="000000" w:themeColor="text1"/>
      </w:rPr>
      <w:t xml:space="preserve"> 202</w:t>
    </w:r>
    <w:r>
      <w:rPr>
        <w:rFonts w:asciiTheme="majorBidi" w:hAnsiTheme="majorBidi" w:cstheme="majorBidi"/>
        <w:color w:val="000000" w:themeColor="text1"/>
      </w:rPr>
      <w:t>3</w:t>
    </w:r>
    <w:r w:rsidRPr="003773E1">
      <w:rPr>
        <w:rFonts w:asciiTheme="majorBidi" w:hAnsiTheme="majorBidi" w:cstheme="majorBidi"/>
      </w:rPr>
      <w:t xml:space="preserve"> </w:t>
    </w:r>
  </w:p>
  <w:p w:rsidR="00935264" w:rsidRDefault="00935264" w:rsidP="00935264">
    <w:pPr>
      <w:spacing w:after="0"/>
    </w:pPr>
  </w:p>
  <w:p w:rsidR="00935264" w:rsidRDefault="00935264" w:rsidP="00935264">
    <w:pPr>
      <w:spacing w:after="0"/>
    </w:pPr>
  </w:p>
  <w:p w:rsidR="00935264" w:rsidRDefault="00935264"/>
  <w:p w:rsidR="00935264" w:rsidRDefault="009352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6839"/>
    <w:multiLevelType w:val="hybridMultilevel"/>
    <w:tmpl w:val="688C4FAE"/>
    <w:lvl w:ilvl="0" w:tplc="D31C6DC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A1E3028"/>
    <w:multiLevelType w:val="hybridMultilevel"/>
    <w:tmpl w:val="DA5A4D22"/>
    <w:lvl w:ilvl="0" w:tplc="7786EE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004A2"/>
    <w:multiLevelType w:val="hybridMultilevel"/>
    <w:tmpl w:val="1FE8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401A9"/>
    <w:multiLevelType w:val="multilevel"/>
    <w:tmpl w:val="B860CA5C"/>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46269AD"/>
    <w:multiLevelType w:val="hybridMultilevel"/>
    <w:tmpl w:val="408A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269E5"/>
    <w:multiLevelType w:val="multilevel"/>
    <w:tmpl w:val="40008A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3A18FD"/>
    <w:multiLevelType w:val="hybridMultilevel"/>
    <w:tmpl w:val="CD2ED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422C3"/>
    <w:multiLevelType w:val="hybridMultilevel"/>
    <w:tmpl w:val="300CB3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5F5972"/>
    <w:multiLevelType w:val="hybridMultilevel"/>
    <w:tmpl w:val="6456A5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87186">
    <w:abstractNumId w:val="5"/>
  </w:num>
  <w:num w:numId="2" w16cid:durableId="2083526632">
    <w:abstractNumId w:val="3"/>
  </w:num>
  <w:num w:numId="3" w16cid:durableId="1548368610">
    <w:abstractNumId w:val="2"/>
  </w:num>
  <w:num w:numId="4" w16cid:durableId="177239522">
    <w:abstractNumId w:val="0"/>
  </w:num>
  <w:num w:numId="5" w16cid:durableId="675301857">
    <w:abstractNumId w:val="1"/>
  </w:num>
  <w:num w:numId="6" w16cid:durableId="607204345">
    <w:abstractNumId w:val="8"/>
  </w:num>
  <w:num w:numId="7" w16cid:durableId="2123525557">
    <w:abstractNumId w:val="6"/>
  </w:num>
  <w:num w:numId="8" w16cid:durableId="2012758780">
    <w:abstractNumId w:val="4"/>
  </w:num>
  <w:num w:numId="9" w16cid:durableId="15105656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91691"/>
    <w:rsid w:val="00052445"/>
    <w:rsid w:val="00070BB5"/>
    <w:rsid w:val="00105822"/>
    <w:rsid w:val="00167DB0"/>
    <w:rsid w:val="001F36F0"/>
    <w:rsid w:val="00222BAB"/>
    <w:rsid w:val="00232B64"/>
    <w:rsid w:val="00270515"/>
    <w:rsid w:val="002A52C4"/>
    <w:rsid w:val="002A7083"/>
    <w:rsid w:val="002C1DFC"/>
    <w:rsid w:val="00481FDA"/>
    <w:rsid w:val="004F7ED4"/>
    <w:rsid w:val="00534E2D"/>
    <w:rsid w:val="005A06EC"/>
    <w:rsid w:val="005B6302"/>
    <w:rsid w:val="00691691"/>
    <w:rsid w:val="0069377C"/>
    <w:rsid w:val="006A3529"/>
    <w:rsid w:val="00716363"/>
    <w:rsid w:val="007532A7"/>
    <w:rsid w:val="008025D7"/>
    <w:rsid w:val="00865825"/>
    <w:rsid w:val="00867769"/>
    <w:rsid w:val="0087297B"/>
    <w:rsid w:val="008B5ABE"/>
    <w:rsid w:val="008E7BC5"/>
    <w:rsid w:val="00916054"/>
    <w:rsid w:val="00935264"/>
    <w:rsid w:val="00962C95"/>
    <w:rsid w:val="00A20205"/>
    <w:rsid w:val="00A93AAA"/>
    <w:rsid w:val="00AD0BA2"/>
    <w:rsid w:val="00B77D9D"/>
    <w:rsid w:val="00BB5FE0"/>
    <w:rsid w:val="00BF1025"/>
    <w:rsid w:val="00CC7CA2"/>
    <w:rsid w:val="00DB15D3"/>
    <w:rsid w:val="00DE5BBE"/>
    <w:rsid w:val="00E22183"/>
    <w:rsid w:val="00E33E30"/>
    <w:rsid w:val="00ED1D04"/>
    <w:rsid w:val="00F01FA8"/>
    <w:rsid w:val="00F05853"/>
    <w:rsid w:val="00F3513D"/>
    <w:rsid w:val="00FC03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EECB"/>
  <w15:chartTrackingRefBased/>
  <w15:docId w15:val="{4338AA5A-705E-4642-B3A1-9BD41246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691"/>
  </w:style>
  <w:style w:type="paragraph" w:styleId="Heading1">
    <w:name w:val="heading 1"/>
    <w:next w:val="Normal"/>
    <w:link w:val="Heading1Char"/>
    <w:uiPriority w:val="9"/>
    <w:unhideWhenUsed/>
    <w:qFormat/>
    <w:rsid w:val="00691691"/>
    <w:pPr>
      <w:keepNext/>
      <w:keepLines/>
      <w:numPr>
        <w:numId w:val="2"/>
      </w:numPr>
      <w:spacing w:after="1"/>
      <w:ind w:left="139"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691691"/>
    <w:pPr>
      <w:keepNext/>
      <w:keepLines/>
      <w:numPr>
        <w:ilvl w:val="1"/>
        <w:numId w:val="2"/>
      </w:numPr>
      <w:spacing w:after="1"/>
      <w:ind w:left="139"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6916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691"/>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691691"/>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semiHidden/>
    <w:rsid w:val="00691691"/>
    <w:rPr>
      <w:rFonts w:asciiTheme="majorHAnsi" w:eastAsiaTheme="majorEastAsia" w:hAnsiTheme="majorHAnsi" w:cstheme="majorBidi"/>
      <w:color w:val="1F4D78" w:themeColor="accent1" w:themeShade="7F"/>
      <w:sz w:val="24"/>
      <w:szCs w:val="24"/>
    </w:rPr>
  </w:style>
  <w:style w:type="paragraph" w:styleId="TableofFigures">
    <w:name w:val="table of figures"/>
    <w:basedOn w:val="Normal"/>
    <w:next w:val="Normal"/>
    <w:uiPriority w:val="99"/>
    <w:unhideWhenUsed/>
    <w:rsid w:val="00691691"/>
    <w:pPr>
      <w:spacing w:after="0"/>
    </w:pPr>
    <w:rPr>
      <w:rFonts w:ascii="Times New Roman" w:hAnsi="Times New Roman"/>
      <w:sz w:val="24"/>
    </w:rPr>
  </w:style>
  <w:style w:type="table" w:styleId="TableGrid">
    <w:name w:val="Table Grid"/>
    <w:basedOn w:val="TableNormal"/>
    <w:uiPriority w:val="59"/>
    <w:qFormat/>
    <w:rsid w:val="0069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91691"/>
    <w:pPr>
      <w:ind w:left="720"/>
      <w:contextualSpacing/>
    </w:pPr>
  </w:style>
  <w:style w:type="character" w:customStyle="1" w:styleId="ListParagraphChar">
    <w:name w:val="List Paragraph Char"/>
    <w:basedOn w:val="DefaultParagraphFont"/>
    <w:link w:val="ListParagraph"/>
    <w:uiPriority w:val="34"/>
    <w:rsid w:val="00691691"/>
  </w:style>
  <w:style w:type="paragraph" w:styleId="BalloonText">
    <w:name w:val="Balloon Text"/>
    <w:basedOn w:val="Normal"/>
    <w:link w:val="BalloonTextChar"/>
    <w:uiPriority w:val="99"/>
    <w:semiHidden/>
    <w:unhideWhenUsed/>
    <w:rsid w:val="00691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691"/>
    <w:rPr>
      <w:rFonts w:ascii="Segoe UI" w:hAnsi="Segoe UI" w:cs="Segoe UI"/>
      <w:sz w:val="18"/>
      <w:szCs w:val="18"/>
    </w:rPr>
  </w:style>
  <w:style w:type="character" w:styleId="Hyperlink">
    <w:name w:val="Hyperlink"/>
    <w:basedOn w:val="DefaultParagraphFont"/>
    <w:uiPriority w:val="99"/>
    <w:unhideWhenUsed/>
    <w:rsid w:val="00691691"/>
    <w:rPr>
      <w:color w:val="0563C1" w:themeColor="hyperlink"/>
      <w:u w:val="single"/>
    </w:rPr>
  </w:style>
  <w:style w:type="paragraph" w:styleId="BodyText">
    <w:name w:val="Body Text"/>
    <w:basedOn w:val="Normal"/>
    <w:link w:val="BodyTextChar"/>
    <w:uiPriority w:val="1"/>
    <w:qFormat/>
    <w:rsid w:val="00691691"/>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691691"/>
    <w:rPr>
      <w:rFonts w:ascii="Times New Roman" w:eastAsia="Times New Roman" w:hAnsi="Times New Roman" w:cs="Times New Roman"/>
      <w:sz w:val="19"/>
      <w:szCs w:val="19"/>
    </w:rPr>
  </w:style>
  <w:style w:type="paragraph" w:styleId="Caption">
    <w:name w:val="caption"/>
    <w:basedOn w:val="Normal"/>
    <w:next w:val="Normal"/>
    <w:uiPriority w:val="35"/>
    <w:unhideWhenUsed/>
    <w:qFormat/>
    <w:rsid w:val="0069169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691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691"/>
  </w:style>
  <w:style w:type="paragraph" w:styleId="Footer">
    <w:name w:val="footer"/>
    <w:basedOn w:val="Normal"/>
    <w:link w:val="FooterChar"/>
    <w:uiPriority w:val="99"/>
    <w:unhideWhenUsed/>
    <w:rsid w:val="00691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691"/>
  </w:style>
  <w:style w:type="character" w:customStyle="1" w:styleId="UnresolvedMention1">
    <w:name w:val="Unresolved Mention1"/>
    <w:basedOn w:val="DefaultParagraphFont"/>
    <w:uiPriority w:val="99"/>
    <w:semiHidden/>
    <w:unhideWhenUsed/>
    <w:rsid w:val="00691691"/>
    <w:rPr>
      <w:color w:val="605E5C"/>
      <w:shd w:val="clear" w:color="auto" w:fill="E1DFDD"/>
    </w:rPr>
  </w:style>
  <w:style w:type="character" w:styleId="PageNumber">
    <w:name w:val="page number"/>
    <w:basedOn w:val="DefaultParagraphFont"/>
    <w:uiPriority w:val="99"/>
    <w:semiHidden/>
    <w:unhideWhenUsed/>
    <w:rsid w:val="00691691"/>
  </w:style>
  <w:style w:type="paragraph" w:styleId="NoSpacing">
    <w:name w:val="No Spacing"/>
    <w:link w:val="NoSpacingChar"/>
    <w:uiPriority w:val="1"/>
    <w:qFormat/>
    <w:rsid w:val="00691691"/>
    <w:pPr>
      <w:spacing w:after="0" w:line="240" w:lineRule="auto"/>
    </w:pPr>
  </w:style>
  <w:style w:type="paragraph" w:styleId="NormalWeb">
    <w:name w:val="Normal (Web)"/>
    <w:basedOn w:val="Normal"/>
    <w:link w:val="NormalWebChar"/>
    <w:uiPriority w:val="99"/>
    <w:unhideWhenUsed/>
    <w:rsid w:val="006916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691691"/>
  </w:style>
  <w:style w:type="character" w:styleId="FollowedHyperlink">
    <w:name w:val="FollowedHyperlink"/>
    <w:basedOn w:val="DefaultParagraphFont"/>
    <w:uiPriority w:val="99"/>
    <w:semiHidden/>
    <w:unhideWhenUsed/>
    <w:rsid w:val="00691691"/>
    <w:rPr>
      <w:color w:val="954F72" w:themeColor="followedHyperlink"/>
      <w:u w:val="single"/>
    </w:rPr>
  </w:style>
  <w:style w:type="paragraph" w:customStyle="1" w:styleId="EndNoteBibliography">
    <w:name w:val="EndNote Bibliography"/>
    <w:basedOn w:val="Normal"/>
    <w:link w:val="EndNoteBibliographyChar"/>
    <w:rsid w:val="00691691"/>
    <w:pPr>
      <w:spacing w:after="200" w:line="240" w:lineRule="auto"/>
      <w:jc w:val="both"/>
    </w:pPr>
    <w:rPr>
      <w:rFonts w:ascii="Calibri" w:eastAsia="Calibri" w:hAnsi="Calibri" w:cs="Calibri"/>
      <w:noProof/>
    </w:rPr>
  </w:style>
  <w:style w:type="character" w:customStyle="1" w:styleId="EndNoteBibliographyChar">
    <w:name w:val="EndNote Bibliography Char"/>
    <w:basedOn w:val="DefaultParagraphFont"/>
    <w:link w:val="EndNoteBibliography"/>
    <w:rsid w:val="00691691"/>
    <w:rPr>
      <w:rFonts w:ascii="Calibri" w:eastAsia="Calibri" w:hAnsi="Calibri" w:cs="Calibri"/>
      <w:noProof/>
    </w:rPr>
  </w:style>
  <w:style w:type="paragraph" w:customStyle="1" w:styleId="JCBIF31text">
    <w:name w:val="JCBIF_3.1_text"/>
    <w:qFormat/>
    <w:rsid w:val="00691691"/>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JCBIF41tablecaption">
    <w:name w:val="JCBIF_4.1_table_caption"/>
    <w:qFormat/>
    <w:rsid w:val="00691691"/>
    <w:pPr>
      <w:adjustRightInd w:val="0"/>
      <w:snapToGrid w:val="0"/>
      <w:spacing w:before="240" w:after="120" w:line="228" w:lineRule="auto"/>
      <w:ind w:left="2608"/>
    </w:pPr>
    <w:rPr>
      <w:rFonts w:ascii="Palatino Linotype" w:eastAsia="Times New Roman" w:hAnsi="Palatino Linotype" w:cs="Cordia New"/>
      <w:color w:val="000000"/>
      <w:sz w:val="18"/>
      <w:lang w:eastAsia="de-DE" w:bidi="en-US"/>
    </w:rPr>
  </w:style>
  <w:style w:type="paragraph" w:customStyle="1" w:styleId="JCBIF23heading3">
    <w:name w:val="JCBIF_2.3_heading3"/>
    <w:qFormat/>
    <w:rsid w:val="00691691"/>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JCBIF21heading1">
    <w:name w:val="JCBIF_2.1_heading1"/>
    <w:qFormat/>
    <w:rsid w:val="00691691"/>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JCBIF22heading2">
    <w:name w:val="JCBIF_2.2_heading2"/>
    <w:qFormat/>
    <w:rsid w:val="00691691"/>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JCBIF62BackMatter">
    <w:name w:val="JCBIF_6.2_BackMatter"/>
    <w:qFormat/>
    <w:rsid w:val="00691691"/>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table" w:customStyle="1" w:styleId="LightShading-Accent11">
    <w:name w:val="Light Shading - Accent 11"/>
    <w:basedOn w:val="TableNormal"/>
    <w:uiPriority w:val="60"/>
    <w:rsid w:val="0069169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Default">
    <w:name w:val="Default"/>
    <w:rsid w:val="006916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oot-block-node">
    <w:name w:val="root-block-node"/>
    <w:basedOn w:val="Normal"/>
    <w:rsid w:val="006916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65825"/>
    <w:rPr>
      <w:color w:val="605E5C"/>
      <w:shd w:val="clear" w:color="auto" w:fill="E1DFDD"/>
    </w:rPr>
  </w:style>
  <w:style w:type="character" w:customStyle="1" w:styleId="NormalWebChar">
    <w:name w:val="Normal (Web) Char"/>
    <w:basedOn w:val="DefaultParagraphFont"/>
    <w:link w:val="NormalWeb"/>
    <w:uiPriority w:val="99"/>
    <w:rsid w:val="00DE5BB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E5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E5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DE5B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5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716">
      <w:bodyDiv w:val="1"/>
      <w:marLeft w:val="0"/>
      <w:marRight w:val="0"/>
      <w:marTop w:val="0"/>
      <w:marBottom w:val="0"/>
      <w:divBdr>
        <w:top w:val="none" w:sz="0" w:space="0" w:color="auto"/>
        <w:left w:val="none" w:sz="0" w:space="0" w:color="auto"/>
        <w:bottom w:val="none" w:sz="0" w:space="0" w:color="auto"/>
        <w:right w:val="none" w:sz="0" w:space="0" w:color="auto"/>
      </w:divBdr>
    </w:div>
    <w:div w:id="162673767">
      <w:bodyDiv w:val="1"/>
      <w:marLeft w:val="0"/>
      <w:marRight w:val="0"/>
      <w:marTop w:val="0"/>
      <w:marBottom w:val="0"/>
      <w:divBdr>
        <w:top w:val="none" w:sz="0" w:space="0" w:color="auto"/>
        <w:left w:val="none" w:sz="0" w:space="0" w:color="auto"/>
        <w:bottom w:val="none" w:sz="0" w:space="0" w:color="auto"/>
        <w:right w:val="none" w:sz="0" w:space="0" w:color="auto"/>
      </w:divBdr>
    </w:div>
    <w:div w:id="189998716">
      <w:bodyDiv w:val="1"/>
      <w:marLeft w:val="0"/>
      <w:marRight w:val="0"/>
      <w:marTop w:val="0"/>
      <w:marBottom w:val="0"/>
      <w:divBdr>
        <w:top w:val="none" w:sz="0" w:space="0" w:color="auto"/>
        <w:left w:val="none" w:sz="0" w:space="0" w:color="auto"/>
        <w:bottom w:val="none" w:sz="0" w:space="0" w:color="auto"/>
        <w:right w:val="none" w:sz="0" w:space="0" w:color="auto"/>
      </w:divBdr>
    </w:div>
    <w:div w:id="200097258">
      <w:bodyDiv w:val="1"/>
      <w:marLeft w:val="0"/>
      <w:marRight w:val="0"/>
      <w:marTop w:val="0"/>
      <w:marBottom w:val="0"/>
      <w:divBdr>
        <w:top w:val="none" w:sz="0" w:space="0" w:color="auto"/>
        <w:left w:val="none" w:sz="0" w:space="0" w:color="auto"/>
        <w:bottom w:val="none" w:sz="0" w:space="0" w:color="auto"/>
        <w:right w:val="none" w:sz="0" w:space="0" w:color="auto"/>
      </w:divBdr>
    </w:div>
    <w:div w:id="580483130">
      <w:bodyDiv w:val="1"/>
      <w:marLeft w:val="0"/>
      <w:marRight w:val="0"/>
      <w:marTop w:val="0"/>
      <w:marBottom w:val="0"/>
      <w:divBdr>
        <w:top w:val="none" w:sz="0" w:space="0" w:color="auto"/>
        <w:left w:val="none" w:sz="0" w:space="0" w:color="auto"/>
        <w:bottom w:val="none" w:sz="0" w:space="0" w:color="auto"/>
        <w:right w:val="none" w:sz="0" w:space="0" w:color="auto"/>
      </w:divBdr>
    </w:div>
    <w:div w:id="618026850">
      <w:bodyDiv w:val="1"/>
      <w:marLeft w:val="0"/>
      <w:marRight w:val="0"/>
      <w:marTop w:val="0"/>
      <w:marBottom w:val="0"/>
      <w:divBdr>
        <w:top w:val="none" w:sz="0" w:space="0" w:color="auto"/>
        <w:left w:val="none" w:sz="0" w:space="0" w:color="auto"/>
        <w:bottom w:val="none" w:sz="0" w:space="0" w:color="auto"/>
        <w:right w:val="none" w:sz="0" w:space="0" w:color="auto"/>
      </w:divBdr>
    </w:div>
    <w:div w:id="894270901">
      <w:bodyDiv w:val="1"/>
      <w:marLeft w:val="0"/>
      <w:marRight w:val="0"/>
      <w:marTop w:val="0"/>
      <w:marBottom w:val="0"/>
      <w:divBdr>
        <w:top w:val="none" w:sz="0" w:space="0" w:color="auto"/>
        <w:left w:val="none" w:sz="0" w:space="0" w:color="auto"/>
        <w:bottom w:val="none" w:sz="0" w:space="0" w:color="auto"/>
        <w:right w:val="none" w:sz="0" w:space="0" w:color="auto"/>
      </w:divBdr>
    </w:div>
    <w:div w:id="1149975666">
      <w:bodyDiv w:val="1"/>
      <w:marLeft w:val="0"/>
      <w:marRight w:val="0"/>
      <w:marTop w:val="0"/>
      <w:marBottom w:val="0"/>
      <w:divBdr>
        <w:top w:val="none" w:sz="0" w:space="0" w:color="auto"/>
        <w:left w:val="none" w:sz="0" w:space="0" w:color="auto"/>
        <w:bottom w:val="none" w:sz="0" w:space="0" w:color="auto"/>
        <w:right w:val="none" w:sz="0" w:space="0" w:color="auto"/>
      </w:divBdr>
    </w:div>
    <w:div w:id="1189834891">
      <w:bodyDiv w:val="1"/>
      <w:marLeft w:val="0"/>
      <w:marRight w:val="0"/>
      <w:marTop w:val="0"/>
      <w:marBottom w:val="0"/>
      <w:divBdr>
        <w:top w:val="none" w:sz="0" w:space="0" w:color="auto"/>
        <w:left w:val="none" w:sz="0" w:space="0" w:color="auto"/>
        <w:bottom w:val="none" w:sz="0" w:space="0" w:color="auto"/>
        <w:right w:val="none" w:sz="0" w:space="0" w:color="auto"/>
      </w:divBdr>
    </w:div>
    <w:div w:id="1336299324">
      <w:bodyDiv w:val="1"/>
      <w:marLeft w:val="0"/>
      <w:marRight w:val="0"/>
      <w:marTop w:val="0"/>
      <w:marBottom w:val="0"/>
      <w:divBdr>
        <w:top w:val="none" w:sz="0" w:space="0" w:color="auto"/>
        <w:left w:val="none" w:sz="0" w:space="0" w:color="auto"/>
        <w:bottom w:val="none" w:sz="0" w:space="0" w:color="auto"/>
        <w:right w:val="none" w:sz="0" w:space="0" w:color="auto"/>
      </w:divBdr>
    </w:div>
    <w:div w:id="1490825974">
      <w:bodyDiv w:val="1"/>
      <w:marLeft w:val="0"/>
      <w:marRight w:val="0"/>
      <w:marTop w:val="0"/>
      <w:marBottom w:val="0"/>
      <w:divBdr>
        <w:top w:val="none" w:sz="0" w:space="0" w:color="auto"/>
        <w:left w:val="none" w:sz="0" w:space="0" w:color="auto"/>
        <w:bottom w:val="none" w:sz="0" w:space="0" w:color="auto"/>
        <w:right w:val="none" w:sz="0" w:space="0" w:color="auto"/>
      </w:divBdr>
    </w:div>
    <w:div w:id="1526945626">
      <w:bodyDiv w:val="1"/>
      <w:marLeft w:val="0"/>
      <w:marRight w:val="0"/>
      <w:marTop w:val="0"/>
      <w:marBottom w:val="0"/>
      <w:divBdr>
        <w:top w:val="none" w:sz="0" w:space="0" w:color="auto"/>
        <w:left w:val="none" w:sz="0" w:space="0" w:color="auto"/>
        <w:bottom w:val="none" w:sz="0" w:space="0" w:color="auto"/>
        <w:right w:val="none" w:sz="0" w:space="0" w:color="auto"/>
      </w:divBdr>
    </w:div>
    <w:div w:id="2030178680">
      <w:bodyDiv w:val="1"/>
      <w:marLeft w:val="0"/>
      <w:marRight w:val="0"/>
      <w:marTop w:val="0"/>
      <w:marBottom w:val="0"/>
      <w:divBdr>
        <w:top w:val="none" w:sz="0" w:space="0" w:color="auto"/>
        <w:left w:val="none" w:sz="0" w:space="0" w:color="auto"/>
        <w:bottom w:val="none" w:sz="0" w:space="0" w:color="auto"/>
        <w:right w:val="none" w:sz="0" w:space="0" w:color="auto"/>
      </w:divBdr>
    </w:div>
    <w:div w:id="21009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iub.edu.pk/index.php/jthsi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sheenapitafi@gmail.com"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19239</Words>
  <Characters>109667</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Marria Hassan</cp:lastModifiedBy>
  <cp:revision>4</cp:revision>
  <dcterms:created xsi:type="dcterms:W3CDTF">2023-09-10T21:18:00Z</dcterms:created>
  <dcterms:modified xsi:type="dcterms:W3CDTF">2023-09-10T21:40:00Z</dcterms:modified>
</cp:coreProperties>
</file>