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87D3" w14:textId="77777777" w:rsidR="00093882" w:rsidRPr="00D415F9" w:rsidRDefault="00093882" w:rsidP="009E6088">
      <w:pPr>
        <w:pBdr>
          <w:top w:val="single" w:sz="4" w:space="1" w:color="auto"/>
        </w:pBdr>
        <w:shd w:val="clear" w:color="auto" w:fill="FFFFFF" w:themeFill="background1"/>
        <w:spacing w:line="240" w:lineRule="auto"/>
        <w:jc w:val="center"/>
        <w:rPr>
          <w:rFonts w:asciiTheme="majorBidi" w:hAnsiTheme="majorBidi" w:cstheme="majorBidi"/>
          <w:b/>
          <w:szCs w:val="24"/>
        </w:rPr>
      </w:pPr>
      <w:bookmarkStart w:id="0" w:name="_Toc498769472"/>
      <w:bookmarkStart w:id="1" w:name="_Toc511306774"/>
      <w:bookmarkStart w:id="2" w:name="_Toc515460196"/>
    </w:p>
    <w:p w14:paraId="2E01FC2A" w14:textId="01E1181D" w:rsidR="00C2473C" w:rsidRPr="00C2473C" w:rsidRDefault="00C2473C" w:rsidP="009E6088">
      <w:pPr>
        <w:spacing w:after="0" w:line="240" w:lineRule="auto"/>
        <w:jc w:val="center"/>
        <w:rPr>
          <w:rFonts w:asciiTheme="majorBidi" w:eastAsia="Times New Roman" w:hAnsiTheme="majorBidi" w:cstheme="majorBidi"/>
          <w:b/>
          <w:sz w:val="28"/>
          <w:szCs w:val="28"/>
        </w:rPr>
      </w:pPr>
      <w:r w:rsidRPr="00C2473C">
        <w:rPr>
          <w:rFonts w:asciiTheme="majorBidi" w:eastAsia="Times New Roman" w:hAnsiTheme="majorBidi" w:cstheme="majorBidi"/>
          <w:b/>
          <w:sz w:val="28"/>
          <w:szCs w:val="28"/>
        </w:rPr>
        <w:t xml:space="preserve">Exploring dynamic causal linkages between Major Stock Exchanges of Asia and established markets of UK, USA, </w:t>
      </w:r>
      <w:r w:rsidR="00162017" w:rsidRPr="00C2473C">
        <w:rPr>
          <w:rFonts w:asciiTheme="majorBidi" w:eastAsia="Times New Roman" w:hAnsiTheme="majorBidi" w:cstheme="majorBidi"/>
          <w:b/>
          <w:sz w:val="28"/>
          <w:szCs w:val="28"/>
        </w:rPr>
        <w:t>Germany,</w:t>
      </w:r>
      <w:r w:rsidRPr="00C2473C">
        <w:rPr>
          <w:rFonts w:asciiTheme="majorBidi" w:eastAsia="Times New Roman" w:hAnsiTheme="majorBidi" w:cstheme="majorBidi"/>
          <w:b/>
          <w:sz w:val="28"/>
          <w:szCs w:val="28"/>
        </w:rPr>
        <w:t xml:space="preserve"> and Japan - A comparative analysis of Pre and Post era of Global Financial Crisis</w:t>
      </w:r>
    </w:p>
    <w:p w14:paraId="430B0CD3" w14:textId="7F303C4A" w:rsidR="00876049" w:rsidRPr="00D415F9" w:rsidRDefault="00876049" w:rsidP="009E6088">
      <w:pPr>
        <w:spacing w:after="0" w:line="240" w:lineRule="auto"/>
        <w:jc w:val="center"/>
        <w:rPr>
          <w:rFonts w:asciiTheme="majorBidi" w:hAnsiTheme="majorBidi" w:cstheme="majorBidi"/>
          <w:b/>
        </w:rPr>
      </w:pPr>
    </w:p>
    <w:p w14:paraId="3DB71D18" w14:textId="34E3FD0F" w:rsidR="00C2473C" w:rsidRPr="00D415F9" w:rsidRDefault="00C2473C" w:rsidP="009E6088">
      <w:pPr>
        <w:pStyle w:val="BodyTextIndent"/>
        <w:shd w:val="clear" w:color="auto" w:fill="FFFFFF" w:themeFill="background1"/>
        <w:rPr>
          <w:rFonts w:asciiTheme="majorBidi" w:hAnsiTheme="majorBidi" w:cstheme="majorBidi"/>
          <w:sz w:val="28"/>
          <w:szCs w:val="28"/>
        </w:rPr>
      </w:pPr>
      <w:r w:rsidRPr="00C2473C">
        <w:rPr>
          <w:rFonts w:asciiTheme="majorBidi" w:eastAsiaTheme="minorHAnsi" w:hAnsiTheme="majorBidi" w:cstheme="majorBidi"/>
          <w:sz w:val="24"/>
          <w:szCs w:val="22"/>
        </w:rPr>
        <w:t>Sajid Salim</w:t>
      </w:r>
      <w:r w:rsidRPr="00C2473C">
        <w:rPr>
          <w:rStyle w:val="FootnoteReference"/>
          <w:rFonts w:asciiTheme="majorBidi" w:eastAsiaTheme="minorHAnsi" w:hAnsiTheme="majorBidi" w:cstheme="majorBidi"/>
          <w:sz w:val="24"/>
          <w:szCs w:val="22"/>
        </w:rPr>
        <w:footnoteReference w:id="1"/>
      </w:r>
      <w:r w:rsidRPr="00C2473C">
        <w:rPr>
          <w:rStyle w:val="FootnoteReference"/>
          <w:rFonts w:asciiTheme="majorBidi" w:eastAsiaTheme="minorHAnsi" w:hAnsiTheme="majorBidi" w:cstheme="majorBidi"/>
          <w:sz w:val="24"/>
          <w:szCs w:val="22"/>
          <w:vertAlign w:val="baseline"/>
        </w:rPr>
        <w:t>,</w:t>
      </w:r>
      <w:r w:rsidRPr="00A755E3">
        <w:rPr>
          <w:rFonts w:ascii="Times New Roman" w:hAnsi="Times New Roman"/>
          <w:sz w:val="28"/>
          <w:szCs w:val="28"/>
        </w:rPr>
        <w:t xml:space="preserve"> </w:t>
      </w:r>
      <w:r w:rsidRPr="00C2473C">
        <w:rPr>
          <w:rFonts w:asciiTheme="majorBidi" w:eastAsiaTheme="minorHAnsi" w:hAnsiTheme="majorBidi" w:cstheme="majorBidi"/>
          <w:sz w:val="24"/>
          <w:szCs w:val="22"/>
        </w:rPr>
        <w:t xml:space="preserve">Mirza Aqeel </w:t>
      </w:r>
      <w:proofErr w:type="spellStart"/>
      <w:r w:rsidRPr="00C2473C">
        <w:rPr>
          <w:rFonts w:asciiTheme="majorBidi" w:eastAsiaTheme="minorHAnsi" w:hAnsiTheme="majorBidi" w:cstheme="majorBidi"/>
          <w:sz w:val="24"/>
          <w:szCs w:val="22"/>
        </w:rPr>
        <w:t>Baig</w:t>
      </w:r>
      <w:proofErr w:type="spellEnd"/>
      <w:r w:rsidRPr="00C2473C">
        <w:rPr>
          <w:rStyle w:val="FootnoteReference"/>
          <w:rFonts w:asciiTheme="majorBidi" w:eastAsiaTheme="minorHAnsi" w:hAnsiTheme="majorBidi" w:cstheme="majorBidi"/>
          <w:sz w:val="24"/>
          <w:szCs w:val="22"/>
        </w:rPr>
        <w:footnoteReference w:id="2"/>
      </w:r>
      <w:r w:rsidRPr="00A755E3">
        <w:rPr>
          <w:rFonts w:ascii="Times New Roman" w:hAnsi="Times New Roman"/>
          <w:sz w:val="28"/>
          <w:szCs w:val="28"/>
        </w:rPr>
        <w:t xml:space="preserve">, </w:t>
      </w:r>
      <w:r w:rsidRPr="00C2473C">
        <w:rPr>
          <w:rFonts w:asciiTheme="majorBidi" w:eastAsiaTheme="minorHAnsi" w:hAnsiTheme="majorBidi" w:cstheme="majorBidi"/>
          <w:sz w:val="24"/>
          <w:szCs w:val="22"/>
        </w:rPr>
        <w:t>and Irfan Lal</w:t>
      </w:r>
      <w:r w:rsidRPr="00C2473C">
        <w:rPr>
          <w:rStyle w:val="FootnoteReference"/>
          <w:rFonts w:asciiTheme="majorBidi" w:eastAsiaTheme="minorHAnsi" w:hAnsiTheme="majorBidi" w:cstheme="majorBidi"/>
          <w:sz w:val="24"/>
          <w:szCs w:val="22"/>
        </w:rPr>
        <w:footnoteReference w:id="3"/>
      </w:r>
    </w:p>
    <w:p w14:paraId="40CD9A37" w14:textId="77777777" w:rsidR="00160B20" w:rsidRDefault="00160B20" w:rsidP="009E6088">
      <w:pPr>
        <w:shd w:val="clear" w:color="auto" w:fill="FFFFFF" w:themeFill="background1"/>
        <w:spacing w:after="0" w:line="240" w:lineRule="auto"/>
        <w:jc w:val="center"/>
        <w:rPr>
          <w:rFonts w:asciiTheme="majorBidi" w:hAnsiTheme="majorBidi" w:cstheme="majorBidi"/>
          <w:b/>
          <w:sz w:val="22"/>
        </w:rPr>
      </w:pPr>
    </w:p>
    <w:p w14:paraId="150CB0E1" w14:textId="3DCF6B6A" w:rsidR="00093882" w:rsidRDefault="00093882" w:rsidP="009E6088">
      <w:pPr>
        <w:shd w:val="clear" w:color="auto" w:fill="FFFFFF" w:themeFill="background1"/>
        <w:spacing w:after="0" w:line="240" w:lineRule="auto"/>
        <w:jc w:val="center"/>
        <w:rPr>
          <w:rFonts w:asciiTheme="majorBidi" w:hAnsiTheme="majorBidi" w:cstheme="majorBidi"/>
          <w:b/>
          <w:sz w:val="22"/>
        </w:rPr>
      </w:pPr>
      <w:r w:rsidRPr="00D415F9">
        <w:rPr>
          <w:rFonts w:asciiTheme="majorBidi" w:hAnsiTheme="majorBidi" w:cstheme="majorBidi"/>
          <w:b/>
          <w:sz w:val="22"/>
        </w:rPr>
        <w:t>Abstrac</w:t>
      </w:r>
      <w:bookmarkEnd w:id="0"/>
      <w:bookmarkEnd w:id="1"/>
      <w:bookmarkEnd w:id="2"/>
      <w:r w:rsidRPr="00D415F9">
        <w:rPr>
          <w:rFonts w:asciiTheme="majorBidi" w:hAnsiTheme="majorBidi" w:cstheme="majorBidi"/>
          <w:b/>
          <w:sz w:val="22"/>
        </w:rPr>
        <w:t>t</w:t>
      </w:r>
    </w:p>
    <w:p w14:paraId="59589F8B" w14:textId="77777777" w:rsidR="00F80F77" w:rsidRPr="00D415F9" w:rsidRDefault="00F80F77" w:rsidP="009E6088">
      <w:pPr>
        <w:shd w:val="clear" w:color="auto" w:fill="FFFFFF" w:themeFill="background1"/>
        <w:spacing w:after="0" w:line="240" w:lineRule="auto"/>
        <w:jc w:val="center"/>
        <w:rPr>
          <w:rFonts w:asciiTheme="majorBidi" w:hAnsiTheme="majorBidi" w:cstheme="majorBidi"/>
          <w:b/>
          <w:sz w:val="22"/>
        </w:rPr>
      </w:pPr>
    </w:p>
    <w:p w14:paraId="350AF30F" w14:textId="77777777" w:rsidR="00F80F77" w:rsidRPr="00F80F77" w:rsidRDefault="00F80F77" w:rsidP="009E6088">
      <w:pPr>
        <w:shd w:val="clear" w:color="auto" w:fill="FFFFFF" w:themeFill="background1"/>
        <w:tabs>
          <w:tab w:val="left" w:pos="0"/>
        </w:tabs>
        <w:spacing w:after="0" w:line="240" w:lineRule="auto"/>
        <w:jc w:val="both"/>
        <w:rPr>
          <w:rFonts w:asciiTheme="majorBidi" w:hAnsiTheme="majorBidi" w:cstheme="majorBidi"/>
          <w:i/>
          <w:iCs/>
          <w:sz w:val="22"/>
        </w:rPr>
      </w:pPr>
      <w:r w:rsidRPr="00F80F77">
        <w:rPr>
          <w:rFonts w:asciiTheme="majorBidi" w:hAnsiTheme="majorBidi" w:cstheme="majorBidi"/>
          <w:i/>
          <w:iCs/>
          <w:sz w:val="22"/>
        </w:rPr>
        <w:t>This study explores the linkages between regional stock markets of three Asian (China, Pakistan and India) countries with well-established stock markets of Germany, United Kingdom, United States of America and Japan. Impact of global financial crisis (2008) has been analyzed on stock markets of sample countries by disaggregating the stock indices data into pre and post global financial crisis regimes. This study has employed weekly data of stock market from March 2001 to February 2008 to represent pre financial crisis performance of stock market whereas data from March 2008 to February 2016 refers to post financial crisis regime. Time-series techniques of unit-root testing, Johansen method of cointegration, Vector Error correction mechanism, variance decompositions, Impulse response function were employed. Results obtained suggest that integration and dynamic linkages among stock markets of sample countries have strengthen after financial crisis. This study advises the investors to include other markets in their portfolio as well so that their risk gets distributed to other markets as well. The policy makers may consider the fact that the degree of financial integration of regional stock markets has increased after the event of global financial crisis and the markets are no more regional markets.</w:t>
      </w:r>
    </w:p>
    <w:p w14:paraId="22EA6A47" w14:textId="3C3D83F1" w:rsidR="00093882" w:rsidRDefault="00093882" w:rsidP="009E6088">
      <w:pPr>
        <w:shd w:val="clear" w:color="auto" w:fill="FFFFFF" w:themeFill="background1"/>
        <w:spacing w:after="0" w:line="240" w:lineRule="auto"/>
        <w:jc w:val="both"/>
        <w:rPr>
          <w:rFonts w:asciiTheme="majorBidi" w:hAnsiTheme="majorBidi" w:cstheme="majorBidi"/>
          <w:sz w:val="22"/>
        </w:rPr>
      </w:pPr>
    </w:p>
    <w:p w14:paraId="22767C9E" w14:textId="00D1DC92" w:rsidR="00F80F77" w:rsidRPr="00061D77" w:rsidRDefault="00093882" w:rsidP="009E6088">
      <w:pPr>
        <w:autoSpaceDE w:val="0"/>
        <w:autoSpaceDN w:val="0"/>
        <w:adjustRightInd w:val="0"/>
        <w:spacing w:after="0" w:line="240" w:lineRule="auto"/>
        <w:ind w:left="1440" w:hanging="1440"/>
        <w:jc w:val="both"/>
        <w:rPr>
          <w:rFonts w:cs="Times New Roman"/>
          <w:sz w:val="22"/>
          <w:lang w:val="en-GB"/>
        </w:rPr>
      </w:pPr>
      <w:bookmarkStart w:id="3" w:name="_Toc498769473"/>
      <w:bookmarkStart w:id="4" w:name="_Toc511306775"/>
      <w:bookmarkStart w:id="5" w:name="_Toc515460197"/>
      <w:r w:rsidRPr="00D415F9">
        <w:rPr>
          <w:rFonts w:asciiTheme="majorBidi" w:hAnsiTheme="majorBidi" w:cstheme="majorBidi"/>
          <w:b/>
          <w:bCs/>
          <w:sz w:val="22"/>
        </w:rPr>
        <w:t>Key Words:</w:t>
      </w:r>
      <w:r w:rsidR="008D59C6" w:rsidRPr="00D415F9">
        <w:rPr>
          <w:rFonts w:asciiTheme="majorBidi" w:hAnsiTheme="majorBidi" w:cstheme="majorBidi"/>
          <w:sz w:val="22"/>
        </w:rPr>
        <w:tab/>
      </w:r>
      <w:r w:rsidR="00F80F77" w:rsidRPr="00F80F77">
        <w:rPr>
          <w:rFonts w:cs="Times New Roman"/>
          <w:sz w:val="22"/>
          <w:lang w:val="en-GB"/>
        </w:rPr>
        <w:t>Stock markets, Global and regional integrations, Panel Analysis</w:t>
      </w:r>
    </w:p>
    <w:p w14:paraId="1F182A96" w14:textId="359D6CA3" w:rsidR="00F80F77" w:rsidRDefault="00093882" w:rsidP="009E6088">
      <w:pPr>
        <w:autoSpaceDE w:val="0"/>
        <w:autoSpaceDN w:val="0"/>
        <w:adjustRightInd w:val="0"/>
        <w:spacing w:after="0" w:line="240" w:lineRule="auto"/>
        <w:jc w:val="both"/>
        <w:rPr>
          <w:rFonts w:cs="Times New Roman"/>
          <w:sz w:val="22"/>
        </w:rPr>
      </w:pPr>
      <w:r w:rsidRPr="00D415F9">
        <w:rPr>
          <w:rFonts w:asciiTheme="majorBidi" w:hAnsiTheme="majorBidi" w:cstheme="majorBidi"/>
          <w:b/>
          <w:sz w:val="22"/>
        </w:rPr>
        <w:lastRenderedPageBreak/>
        <w:t>JEL Codes:</w:t>
      </w:r>
      <w:r w:rsidR="001D6941" w:rsidRPr="00D415F9">
        <w:rPr>
          <w:rFonts w:asciiTheme="majorBidi" w:hAnsiTheme="majorBidi" w:cstheme="majorBidi"/>
          <w:sz w:val="22"/>
        </w:rPr>
        <w:tab/>
      </w:r>
      <w:bookmarkEnd w:id="3"/>
      <w:bookmarkEnd w:id="4"/>
      <w:bookmarkEnd w:id="5"/>
      <w:r w:rsidR="00F80F77" w:rsidRPr="00F80F77">
        <w:rPr>
          <w:rFonts w:cs="Times New Roman"/>
          <w:sz w:val="22"/>
        </w:rPr>
        <w:t>C32, C33, G15</w:t>
      </w:r>
    </w:p>
    <w:p w14:paraId="21606D56" w14:textId="77777777" w:rsidR="00070758" w:rsidRPr="00070758" w:rsidRDefault="00070758" w:rsidP="009E6088">
      <w:pPr>
        <w:autoSpaceDE w:val="0"/>
        <w:autoSpaceDN w:val="0"/>
        <w:adjustRightInd w:val="0"/>
        <w:spacing w:after="0" w:line="240" w:lineRule="auto"/>
        <w:jc w:val="both"/>
        <w:rPr>
          <w:rFonts w:cs="Times New Roman"/>
          <w:sz w:val="22"/>
        </w:rPr>
      </w:pPr>
    </w:p>
    <w:p w14:paraId="735F5B2D" w14:textId="079BFB34" w:rsidR="00F909FF" w:rsidRPr="00D415F9" w:rsidRDefault="00F909FF" w:rsidP="00C956BA">
      <w:pPr>
        <w:pStyle w:val="Heading1"/>
        <w:numPr>
          <w:ilvl w:val="0"/>
          <w:numId w:val="3"/>
        </w:numPr>
        <w:ind w:left="709" w:hanging="709"/>
        <w:rPr>
          <w:rFonts w:asciiTheme="majorBidi" w:eastAsiaTheme="minorEastAsia" w:hAnsiTheme="majorBidi" w:cstheme="majorBidi"/>
        </w:rPr>
      </w:pPr>
      <w:r w:rsidRPr="00D415F9">
        <w:rPr>
          <w:rFonts w:asciiTheme="majorBidi" w:eastAsiaTheme="minorEastAsia" w:hAnsiTheme="majorBidi" w:cstheme="majorBidi"/>
        </w:rPr>
        <w:t>Introduction</w:t>
      </w:r>
    </w:p>
    <w:p w14:paraId="7C131557" w14:textId="3C3B2FFF" w:rsidR="001D694E" w:rsidRDefault="001D694E" w:rsidP="009E6088">
      <w:pPr>
        <w:pStyle w:val="NormalWeb"/>
        <w:shd w:val="clear" w:color="auto" w:fill="FFFFFF"/>
        <w:spacing w:before="0" w:beforeAutospacing="0" w:after="0" w:afterAutospacing="0"/>
        <w:ind w:firstLine="720"/>
        <w:jc w:val="both"/>
        <w:rPr>
          <w:bCs/>
        </w:rPr>
      </w:pPr>
      <w:r w:rsidRPr="001D694E">
        <w:rPr>
          <w:bCs/>
        </w:rPr>
        <w:t>In many ways the world is becoming one large market rather than a series of separate national markers. The same goods and services can be found in many countries throughout the world. Workers are finding it easier to move between countries and capital (finance) is also moving more freely from country to country. Increasing free trade and the rising mobility of labor and capital are having many effects on businesses all over the globe. With increasing degree of globalization, the equity markets of the world are no longer national markets.</w:t>
      </w:r>
    </w:p>
    <w:p w14:paraId="45AD20B4"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03269B3A" w14:textId="1DCC75C8" w:rsidR="001D694E" w:rsidRDefault="001D694E" w:rsidP="009E6088">
      <w:pPr>
        <w:pStyle w:val="NormalWeb"/>
        <w:shd w:val="clear" w:color="auto" w:fill="FFFFFF"/>
        <w:spacing w:before="0" w:beforeAutospacing="0" w:after="0" w:afterAutospacing="0"/>
        <w:ind w:firstLine="720"/>
        <w:jc w:val="both"/>
        <w:rPr>
          <w:bCs/>
        </w:rPr>
      </w:pPr>
      <w:r w:rsidRPr="001D694E">
        <w:rPr>
          <w:bCs/>
        </w:rPr>
        <w:t>In fact, modern research reveals that financial integration of the world has been more rapid than the real-sector integration. The most efficient channel of global financial integration is thought to be the stock market linkage among different countries and the flow of financial fluctuation transmission is normally attributed towards the stock market linkages (</w:t>
      </w:r>
      <w:proofErr w:type="spellStart"/>
      <w:r w:rsidRPr="001D694E">
        <w:rPr>
          <w:bCs/>
        </w:rPr>
        <w:t>Baig</w:t>
      </w:r>
      <w:proofErr w:type="spellEnd"/>
      <w:r w:rsidRPr="001D694E">
        <w:rPr>
          <w:bCs/>
        </w:rPr>
        <w:t xml:space="preserve"> et.al. 2020).   The global financial crisis is an example of global financial integration. The financial crisis of 2007-08 in the US that was generated due to collapse in the US mortgage markets not only affected the equity markets in the US, but throughout the world equity market indices dropped vividly. The investors in different markets of Tokyo, New York and London waited for announcements from the listed companies to adjust their portfolios in line with the news from the other markets.</w:t>
      </w:r>
    </w:p>
    <w:p w14:paraId="47CF2BB5"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7B1DB3D8" w14:textId="52F53AA5" w:rsidR="001D694E" w:rsidRDefault="001D694E" w:rsidP="009E6088">
      <w:pPr>
        <w:pStyle w:val="NormalWeb"/>
        <w:shd w:val="clear" w:color="auto" w:fill="FFFFFF"/>
        <w:spacing w:before="0" w:beforeAutospacing="0" w:after="0" w:afterAutospacing="0"/>
        <w:ind w:firstLine="720"/>
        <w:jc w:val="both"/>
        <w:rPr>
          <w:bCs/>
        </w:rPr>
      </w:pPr>
      <w:r w:rsidRPr="001D694E">
        <w:rPr>
          <w:bCs/>
        </w:rPr>
        <w:t>Initially, the Asian economies were not largely affected by the crisis, but over the passage of time, the stock markets and the exchange rates experienced strong pressure (Das, 2011).</w:t>
      </w:r>
    </w:p>
    <w:p w14:paraId="24D7B990"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3D895304" w14:textId="495F920A" w:rsidR="001D694E" w:rsidRDefault="001D694E" w:rsidP="009E6088">
      <w:pPr>
        <w:pStyle w:val="NormalWeb"/>
        <w:shd w:val="clear" w:color="auto" w:fill="FFFFFF"/>
        <w:spacing w:before="0" w:beforeAutospacing="0" w:after="0" w:afterAutospacing="0"/>
        <w:ind w:firstLine="720"/>
        <w:jc w:val="both"/>
        <w:rPr>
          <w:bCs/>
        </w:rPr>
      </w:pPr>
      <w:r w:rsidRPr="001D694E">
        <w:rPr>
          <w:bCs/>
        </w:rPr>
        <w:t xml:space="preserve">The global financial crisis affecting different economies of the world has posed several questions for the economists. The response of financial markets as regards to financial integration is questioned </w:t>
      </w:r>
      <w:proofErr w:type="spellStart"/>
      <w:r w:rsidRPr="001D694E">
        <w:rPr>
          <w:bCs/>
        </w:rPr>
        <w:t>Heilmann</w:t>
      </w:r>
      <w:proofErr w:type="spellEnd"/>
      <w:r w:rsidRPr="001D694E">
        <w:rPr>
          <w:bCs/>
        </w:rPr>
        <w:t xml:space="preserve"> (2010 </w:t>
      </w:r>
      <w:proofErr w:type="spellStart"/>
      <w:r w:rsidRPr="001D694E">
        <w:rPr>
          <w:bCs/>
        </w:rPr>
        <w:t>Jebran</w:t>
      </w:r>
      <w:proofErr w:type="spellEnd"/>
      <w:r w:rsidRPr="001D694E">
        <w:rPr>
          <w:bCs/>
        </w:rPr>
        <w:t xml:space="preserve"> (2014) explored the linkages between Pakistan and five Asian countries including India, Indonesia, China, Malaysia and </w:t>
      </w:r>
      <w:proofErr w:type="spellStart"/>
      <w:r w:rsidRPr="001D694E">
        <w:rPr>
          <w:bCs/>
        </w:rPr>
        <w:t>Srilanka</w:t>
      </w:r>
      <w:proofErr w:type="spellEnd"/>
      <w:r w:rsidRPr="001D694E">
        <w:rPr>
          <w:bCs/>
        </w:rPr>
        <w:t xml:space="preserve"> and found causal relationship among some Asian countries but no integration between Pakistan and selected Asian countries. Our study is </w:t>
      </w:r>
      <w:r w:rsidRPr="001D694E">
        <w:rPr>
          <w:bCs/>
        </w:rPr>
        <w:lastRenderedPageBreak/>
        <w:t>different from this paper in the sense that we have investigated the long run and dynamic relationship among three Asian countries with the four stock markets of highly developed countries. Our objective is to empirically explore the extent of transmission of fluctuations in the financial markets of developed countries on financial markets of major developing countries in Asia in the pre and post 2008 crisis periods.</w:t>
      </w:r>
    </w:p>
    <w:p w14:paraId="72726E09"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5842A06F" w14:textId="7996C6E8" w:rsidR="001D694E" w:rsidRDefault="001D694E" w:rsidP="009E6088">
      <w:pPr>
        <w:pStyle w:val="NormalWeb"/>
        <w:shd w:val="clear" w:color="auto" w:fill="FFFFFF"/>
        <w:spacing w:before="0" w:beforeAutospacing="0" w:after="0" w:afterAutospacing="0"/>
        <w:ind w:firstLine="720"/>
        <w:jc w:val="both"/>
        <w:rPr>
          <w:bCs/>
        </w:rPr>
      </w:pPr>
      <w:r w:rsidRPr="001D694E">
        <w:rPr>
          <w:bCs/>
        </w:rPr>
        <w:t>This study aims to determine whether the stock markets of Pakistan, India and China have any pattern or trend following movements with their international stock market counterparts i.e. USA, UK, Japan and Germany or not. The reason being that the developing markets are considered to be getting affected by the events happening in developed markets. Moreover, China and India are the most important emerging Asian economies and their linkage financial linkages with the stock markets of developed markets are important.</w:t>
      </w:r>
    </w:p>
    <w:p w14:paraId="28599DBB"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0F11B651" w14:textId="01606844" w:rsidR="001D694E" w:rsidRDefault="001D694E" w:rsidP="009E6088">
      <w:pPr>
        <w:pStyle w:val="NormalWeb"/>
        <w:shd w:val="clear" w:color="auto" w:fill="FFFFFF"/>
        <w:spacing w:before="0" w:beforeAutospacing="0" w:after="0" w:afterAutospacing="0"/>
        <w:ind w:firstLine="720"/>
        <w:jc w:val="both"/>
        <w:rPr>
          <w:bCs/>
        </w:rPr>
      </w:pPr>
      <w:r w:rsidRPr="00B44BA8">
        <w:rPr>
          <w:bCs/>
        </w:rPr>
        <w:t xml:space="preserve">This paper is primarily concerned in exploring the contagion effect of the stock markets between </w:t>
      </w:r>
      <w:r w:rsidRPr="001D694E">
        <w:rPr>
          <w:bCs/>
        </w:rPr>
        <w:t xml:space="preserve">two major </w:t>
      </w:r>
      <w:r w:rsidRPr="00B44BA8">
        <w:rPr>
          <w:bCs/>
        </w:rPr>
        <w:t>Asian stock markets</w:t>
      </w:r>
      <w:r>
        <w:rPr>
          <w:bCs/>
        </w:rPr>
        <w:t xml:space="preserve"> </w:t>
      </w:r>
      <w:r w:rsidRPr="001D694E">
        <w:rPr>
          <w:bCs/>
        </w:rPr>
        <w:t xml:space="preserve">and Pakistan </w:t>
      </w:r>
      <w:r w:rsidRPr="00B44BA8">
        <w:rPr>
          <w:bCs/>
        </w:rPr>
        <w:t xml:space="preserve">and their international counterparts because the stock markets of the developing economies are considered to be getting affected by the events happening in the developed markets. The global financial crisis experienced by the US led to the dropping of stock prices in other markets of the world. Also, the Asian financial crisis of 1997 led to the dropping of stock markets, exchange rates and prices of other assets. Pretorius, </w:t>
      </w:r>
      <w:r>
        <w:rPr>
          <w:bCs/>
        </w:rPr>
        <w:t>(</w:t>
      </w:r>
      <w:r w:rsidRPr="00B44BA8">
        <w:rPr>
          <w:bCs/>
        </w:rPr>
        <w:t>2002).</w:t>
      </w:r>
    </w:p>
    <w:p w14:paraId="6A8CA3A3" w14:textId="77777777" w:rsidR="001D694E" w:rsidRPr="00B44BA8" w:rsidRDefault="001D694E" w:rsidP="009E6088">
      <w:pPr>
        <w:pStyle w:val="NormalWeb"/>
        <w:shd w:val="clear" w:color="auto" w:fill="FFFFFF"/>
        <w:spacing w:before="0" w:beforeAutospacing="0" w:after="0" w:afterAutospacing="0"/>
        <w:ind w:firstLine="720"/>
        <w:jc w:val="both"/>
        <w:rPr>
          <w:bCs/>
        </w:rPr>
      </w:pPr>
    </w:p>
    <w:p w14:paraId="358BFBCC" w14:textId="306E8121" w:rsidR="001D694E" w:rsidRDefault="001D694E" w:rsidP="009E6088">
      <w:pPr>
        <w:pStyle w:val="NormalWeb"/>
        <w:shd w:val="clear" w:color="auto" w:fill="FFFFFF"/>
        <w:spacing w:before="0" w:beforeAutospacing="0" w:after="0" w:afterAutospacing="0"/>
        <w:ind w:firstLine="720"/>
        <w:jc w:val="both"/>
        <w:rPr>
          <w:bCs/>
        </w:rPr>
      </w:pPr>
      <w:r>
        <w:rPr>
          <w:bCs/>
        </w:rPr>
        <w:t>The ‘contagion effect’ is</w:t>
      </w:r>
      <w:r w:rsidRPr="000E7BD5">
        <w:rPr>
          <w:bCs/>
        </w:rPr>
        <w:t xml:space="preserve"> defi</w:t>
      </w:r>
      <w:r>
        <w:rPr>
          <w:bCs/>
        </w:rPr>
        <w:t>ned as</w:t>
      </w:r>
      <w:r w:rsidRPr="000E7BD5">
        <w:rPr>
          <w:bCs/>
        </w:rPr>
        <w:t xml:space="preserve"> the movement of the asset prices together which are not caused by the movement of economic fundamentals</w:t>
      </w:r>
      <w:r>
        <w:rPr>
          <w:bCs/>
        </w:rPr>
        <w:t xml:space="preserve"> just like an infectious disease which spreads to other human beings. Likewise, the happening of an event in a market affects other markets due to large capital outflows in other markets as well without any significant change in the economic fundamentals of the recipient country such as interest rates, profitability of the firms, the rate of inflation etc.</w:t>
      </w:r>
    </w:p>
    <w:p w14:paraId="1A5C96EC" w14:textId="77777777" w:rsidR="001D694E" w:rsidRDefault="001D694E" w:rsidP="009E6088">
      <w:pPr>
        <w:pStyle w:val="NormalWeb"/>
        <w:shd w:val="clear" w:color="auto" w:fill="FFFFFF"/>
        <w:spacing w:before="0" w:beforeAutospacing="0" w:after="0" w:afterAutospacing="0"/>
        <w:ind w:firstLine="720"/>
        <w:jc w:val="both"/>
        <w:rPr>
          <w:bCs/>
        </w:rPr>
      </w:pPr>
    </w:p>
    <w:p w14:paraId="564787B1" w14:textId="77777777" w:rsidR="001D694E" w:rsidRPr="001D694E" w:rsidRDefault="001D694E" w:rsidP="009E6088">
      <w:pPr>
        <w:pStyle w:val="NormalWeb"/>
        <w:shd w:val="clear" w:color="auto" w:fill="FFFFFF"/>
        <w:spacing w:before="0" w:beforeAutospacing="0" w:after="0" w:afterAutospacing="0"/>
        <w:ind w:firstLine="720"/>
        <w:jc w:val="both"/>
        <w:rPr>
          <w:bCs/>
        </w:rPr>
      </w:pPr>
      <w:r w:rsidRPr="001D694E">
        <w:rPr>
          <w:bCs/>
        </w:rPr>
        <w:t xml:space="preserve">The literature review reveals that results of different studies on interlinkages of different stock markets are mixed for </w:t>
      </w:r>
      <w:r w:rsidRPr="001D694E">
        <w:rPr>
          <w:bCs/>
        </w:rPr>
        <w:lastRenderedPageBreak/>
        <w:t xml:space="preserve">example, </w:t>
      </w:r>
      <w:proofErr w:type="spellStart"/>
      <w:r w:rsidRPr="001D694E">
        <w:rPr>
          <w:bCs/>
        </w:rPr>
        <w:t>Μilionis</w:t>
      </w:r>
      <w:proofErr w:type="spellEnd"/>
      <w:r w:rsidRPr="001D694E">
        <w:rPr>
          <w:bCs/>
        </w:rPr>
        <w:t xml:space="preserve"> et.al. (1998), Choudhry (1997), Masih and Masih (1997), Chen et.al. (2000), </w:t>
      </w:r>
      <w:proofErr w:type="spellStart"/>
      <w:r w:rsidRPr="001D694E">
        <w:rPr>
          <w:bCs/>
        </w:rPr>
        <w:t>Kasa</w:t>
      </w:r>
      <w:proofErr w:type="spellEnd"/>
      <w:r w:rsidRPr="001D694E">
        <w:rPr>
          <w:bCs/>
        </w:rPr>
        <w:t xml:space="preserve"> (1992), </w:t>
      </w:r>
      <w:proofErr w:type="spellStart"/>
      <w:r w:rsidRPr="001D694E">
        <w:rPr>
          <w:bCs/>
        </w:rPr>
        <w:t>Voronkova</w:t>
      </w:r>
      <w:proofErr w:type="spellEnd"/>
      <w:r w:rsidRPr="001D694E">
        <w:rPr>
          <w:bCs/>
        </w:rPr>
        <w:t xml:space="preserve">, (2004), Wong et.al. (2007), Wahab and </w:t>
      </w:r>
      <w:proofErr w:type="spellStart"/>
      <w:r w:rsidRPr="001D694E">
        <w:rPr>
          <w:bCs/>
        </w:rPr>
        <w:t>Waheed</w:t>
      </w:r>
      <w:proofErr w:type="spellEnd"/>
      <w:r w:rsidRPr="001D694E">
        <w:rPr>
          <w:bCs/>
        </w:rPr>
        <w:t xml:space="preserve"> (2008), Modi, et.al. (2010), </w:t>
      </w:r>
      <w:proofErr w:type="spellStart"/>
      <w:r w:rsidRPr="001D694E">
        <w:rPr>
          <w:bCs/>
        </w:rPr>
        <w:t>Hassouneh</w:t>
      </w:r>
      <w:proofErr w:type="spellEnd"/>
      <w:r w:rsidRPr="001D694E">
        <w:rPr>
          <w:bCs/>
        </w:rPr>
        <w:t xml:space="preserve">, et.al. (2017) found string or visible linkages between different stock markets. Similarly, Richards (1995), </w:t>
      </w:r>
      <w:proofErr w:type="spellStart"/>
      <w:r w:rsidRPr="001D694E">
        <w:rPr>
          <w:bCs/>
        </w:rPr>
        <w:t>Elyasiani</w:t>
      </w:r>
      <w:proofErr w:type="spellEnd"/>
      <w:r w:rsidRPr="001D694E">
        <w:rPr>
          <w:bCs/>
        </w:rPr>
        <w:t xml:space="preserve"> et.al. (1998), </w:t>
      </w:r>
      <w:proofErr w:type="spellStart"/>
      <w:r w:rsidRPr="001D694E">
        <w:rPr>
          <w:bCs/>
        </w:rPr>
        <w:t>Kasa</w:t>
      </w:r>
      <w:proofErr w:type="spellEnd"/>
      <w:r w:rsidRPr="001D694E">
        <w:rPr>
          <w:bCs/>
        </w:rPr>
        <w:t xml:space="preserve"> (1992) in case of Canada only, Yang et.al. (2003)., Yang and Hu (2000), Fernandez and Rivero (2001) concluded that there is no long run or short relationship among different stock markets. Moreover, Yang et.al. (2014) found that cointegration relationship amplified after the Lehman Brothers collapse. Fall in degree of liquidity barriers and capital mobility and investment friendly environment have been mentioned as main factors behind interlinkages between stock markets of different regions and markets. To the best of our knowledge, there is no study exploring the interlinkages between developing and developed countries dividing the sample between pre and post 2008 crisis periods. According to our finding, there is a greater extent of financial integration among markets selected Asian and developed countries markets in the post financial 2008 crisis against pre-crisis linkage.</w:t>
      </w:r>
    </w:p>
    <w:p w14:paraId="15DF2927" w14:textId="77777777" w:rsidR="001B080B" w:rsidRPr="00D415F9" w:rsidRDefault="001B080B" w:rsidP="009E6088">
      <w:pPr>
        <w:pStyle w:val="NormalWeb"/>
        <w:shd w:val="clear" w:color="auto" w:fill="FFFFFF"/>
        <w:spacing w:before="0" w:beforeAutospacing="0" w:after="0" w:afterAutospacing="0"/>
        <w:ind w:firstLine="720"/>
        <w:jc w:val="both"/>
        <w:rPr>
          <w:rFonts w:asciiTheme="majorBidi" w:hAnsiTheme="majorBidi" w:cstheme="majorBidi"/>
          <w:bCs/>
        </w:rPr>
      </w:pPr>
    </w:p>
    <w:p w14:paraId="0C228A2E" w14:textId="7B28077D" w:rsidR="00A3289D" w:rsidRPr="00D415F9" w:rsidRDefault="00F909FF" w:rsidP="00C956BA">
      <w:pPr>
        <w:pStyle w:val="Heading1"/>
        <w:numPr>
          <w:ilvl w:val="0"/>
          <w:numId w:val="3"/>
        </w:numPr>
        <w:ind w:left="709" w:hanging="709"/>
        <w:rPr>
          <w:rFonts w:asciiTheme="majorBidi" w:eastAsiaTheme="minorEastAsia" w:hAnsiTheme="majorBidi" w:cstheme="majorBidi"/>
        </w:rPr>
      </w:pPr>
      <w:r w:rsidRPr="00D415F9">
        <w:rPr>
          <w:rFonts w:asciiTheme="majorBidi" w:eastAsiaTheme="minorEastAsia" w:hAnsiTheme="majorBidi" w:cstheme="majorBidi"/>
        </w:rPr>
        <w:t>Literature Review</w:t>
      </w:r>
    </w:p>
    <w:p w14:paraId="7FF650A5" w14:textId="0ACCD905" w:rsidR="001D694E" w:rsidRDefault="001D694E" w:rsidP="009E6088">
      <w:pPr>
        <w:pStyle w:val="NormalWeb"/>
        <w:shd w:val="clear" w:color="auto" w:fill="FFFFFF"/>
        <w:spacing w:before="0" w:beforeAutospacing="0" w:after="0" w:afterAutospacing="0"/>
        <w:ind w:firstLine="720"/>
        <w:jc w:val="both"/>
        <w:rPr>
          <w:bCs/>
        </w:rPr>
      </w:pPr>
      <w:r w:rsidRPr="001D694E">
        <w:rPr>
          <w:bCs/>
        </w:rPr>
        <w:t>The stock market interdependencies has been a major preoccupation for financial analysts and economic researchers since early seventies. The short-run linkages between the stock market were investigated and explored by economic researchers.</w:t>
      </w:r>
    </w:p>
    <w:p w14:paraId="6FAE4B36"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2780B41E" w14:textId="64B9D092" w:rsidR="001D694E" w:rsidRDefault="001D694E" w:rsidP="009E6088">
      <w:pPr>
        <w:pStyle w:val="NormalWeb"/>
        <w:shd w:val="clear" w:color="auto" w:fill="FFFFFF"/>
        <w:spacing w:before="0" w:beforeAutospacing="0" w:after="0" w:afterAutospacing="0"/>
        <w:ind w:firstLine="720"/>
        <w:jc w:val="both"/>
        <w:rPr>
          <w:bCs/>
        </w:rPr>
      </w:pPr>
      <w:r w:rsidRPr="001D694E">
        <w:rPr>
          <w:bCs/>
        </w:rPr>
        <w:t>The theory relevant to stock market or financial integration may be attributed towards contagion effect. The ‘contagion effect’ is defined as the movement of the asset prices together which are not caused by the movement of economic fundamentals just like an infectious disease which spreads to other human beings. Likewise, the happening of an event in a market affects other markets due to large capital outflows in other markets as well without any significant change in the economic fundamentals of the recipient country such as interest rates, profitability of the firms, the rate of inflation etc.</w:t>
      </w:r>
    </w:p>
    <w:p w14:paraId="478354D8"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0F8AA537" w14:textId="77A677FD" w:rsidR="001D694E" w:rsidRDefault="001D694E" w:rsidP="009E6088">
      <w:pPr>
        <w:pStyle w:val="NormalWeb"/>
        <w:shd w:val="clear" w:color="auto" w:fill="FFFFFF"/>
        <w:spacing w:before="0" w:beforeAutospacing="0" w:after="0" w:afterAutospacing="0"/>
        <w:ind w:firstLine="720"/>
        <w:jc w:val="both"/>
        <w:rPr>
          <w:bCs/>
        </w:rPr>
      </w:pPr>
      <w:r w:rsidRPr="001D694E">
        <w:rPr>
          <w:bCs/>
        </w:rPr>
        <w:t xml:space="preserve">Hence, this thesis intends to investigate the dynamic linkages (lead – lag relationships) between the stock markets as </w:t>
      </w:r>
      <w:r w:rsidRPr="001D694E">
        <w:rPr>
          <w:bCs/>
        </w:rPr>
        <w:lastRenderedPageBreak/>
        <w:t>specified above by applying Johansen cointegration framework on weekly data of stock market indices of the selected countries.</w:t>
      </w:r>
    </w:p>
    <w:p w14:paraId="485624F6"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54F0D8F0" w14:textId="2BD4DB8B" w:rsidR="001D694E" w:rsidRDefault="001D694E" w:rsidP="009E6088">
      <w:pPr>
        <w:pStyle w:val="NormalWeb"/>
        <w:shd w:val="clear" w:color="auto" w:fill="FFFFFF"/>
        <w:spacing w:before="0" w:beforeAutospacing="0" w:after="0" w:afterAutospacing="0"/>
        <w:ind w:firstLine="720"/>
        <w:jc w:val="both"/>
        <w:rPr>
          <w:bCs/>
        </w:rPr>
      </w:pPr>
      <w:r w:rsidRPr="001D694E">
        <w:rPr>
          <w:bCs/>
        </w:rPr>
        <w:t>To the best of my knowledge, the specific group of countries has not been explored in the previous studies. The Pakistan stock market has not received consideration from the researchers as far as the co-movements and cointegration is concerned. This study will fill this gap.</w:t>
      </w:r>
    </w:p>
    <w:p w14:paraId="1FF725BC"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36BF649A" w14:textId="37C1E7D7" w:rsidR="001D694E" w:rsidRDefault="001D694E" w:rsidP="009E6088">
      <w:pPr>
        <w:pStyle w:val="NormalWeb"/>
        <w:shd w:val="clear" w:color="auto" w:fill="FFFFFF"/>
        <w:spacing w:before="0" w:beforeAutospacing="0" w:after="0" w:afterAutospacing="0"/>
        <w:ind w:firstLine="720"/>
        <w:jc w:val="both"/>
        <w:rPr>
          <w:bCs/>
        </w:rPr>
      </w:pPr>
      <w:bookmarkStart w:id="6" w:name="_Hlk91600116"/>
      <w:proofErr w:type="spellStart"/>
      <w:r w:rsidRPr="001D694E">
        <w:rPr>
          <w:bCs/>
        </w:rPr>
        <w:t>Kasa</w:t>
      </w:r>
      <w:proofErr w:type="spellEnd"/>
      <w:r w:rsidRPr="001D694E">
        <w:rPr>
          <w:bCs/>
        </w:rPr>
        <w:t xml:space="preserve"> (1992) </w:t>
      </w:r>
      <w:bookmarkEnd w:id="6"/>
      <w:r w:rsidRPr="001D694E">
        <w:rPr>
          <w:bCs/>
        </w:rPr>
        <w:t>investigated the stock markets of Japan, Germany, England, the USA and Canada by applying Johansen tests for collective movements of the selected stock markets. The presence of a collective style and trend was observed and the results of factor loading highlighted that this trend was strong in degree for the Japanese stock exchange and was the weakest for the Canadian share market.</w:t>
      </w:r>
    </w:p>
    <w:p w14:paraId="24E7EE69"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6783339F" w14:textId="76EA9217" w:rsidR="001D694E" w:rsidRDefault="001D694E" w:rsidP="009E6088">
      <w:pPr>
        <w:pStyle w:val="NormalWeb"/>
        <w:shd w:val="clear" w:color="auto" w:fill="FFFFFF"/>
        <w:spacing w:before="0" w:beforeAutospacing="0" w:after="0" w:afterAutospacing="0"/>
        <w:ind w:firstLine="720"/>
        <w:jc w:val="both"/>
        <w:rPr>
          <w:bCs/>
        </w:rPr>
      </w:pPr>
      <w:bookmarkStart w:id="7" w:name="_Hlk91600168"/>
      <w:r w:rsidRPr="001D694E">
        <w:rPr>
          <w:bCs/>
        </w:rPr>
        <w:t>Richards (1995)</w:t>
      </w:r>
      <w:bookmarkEnd w:id="7"/>
      <w:r w:rsidRPr="001D694E">
        <w:rPr>
          <w:bCs/>
        </w:rPr>
        <w:t>. The markets of Australia, Canada, Austria, Germany, France, Denmark, USA, Switzerland, Holland, Spain, Norway, Sweden, Hong Kong, Italy and Japan were tested for cointegration for the period 1970 – 1994. The results suggest that there is no relationship among the markets under study. However, the paper suggested that the relative returns are predictable across sixteen national stock markets. The author employs the Johansen (1988) methodology and Engle – Granger (1987) method for testing of cointegration.</w:t>
      </w:r>
    </w:p>
    <w:p w14:paraId="1FF37511"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2F604623" w14:textId="55296EF4" w:rsidR="001D694E" w:rsidRDefault="001D694E" w:rsidP="009E6088">
      <w:pPr>
        <w:pStyle w:val="NormalWeb"/>
        <w:shd w:val="clear" w:color="auto" w:fill="FFFFFF"/>
        <w:spacing w:before="0" w:beforeAutospacing="0" w:after="0" w:afterAutospacing="0"/>
        <w:ind w:firstLine="720"/>
        <w:jc w:val="both"/>
        <w:rPr>
          <w:bCs/>
        </w:rPr>
      </w:pPr>
      <w:bookmarkStart w:id="8" w:name="_Hlk91600329"/>
      <w:proofErr w:type="spellStart"/>
      <w:r w:rsidRPr="001D694E">
        <w:rPr>
          <w:bCs/>
        </w:rPr>
        <w:t>Μilionis</w:t>
      </w:r>
      <w:proofErr w:type="spellEnd"/>
      <w:r w:rsidRPr="001D694E">
        <w:rPr>
          <w:bCs/>
        </w:rPr>
        <w:t xml:space="preserve"> et.al. (1998)</w:t>
      </w:r>
      <w:bookmarkEnd w:id="8"/>
      <w:r w:rsidRPr="001D694E">
        <w:rPr>
          <w:bCs/>
        </w:rPr>
        <w:t>, employ AR model on a set of the markets of Britain, USA and Greece for the period 1990 – 1992 and found that the US stock exchange significantly contributed to movement in the Athens stock Exchange whereas there was weak correlation with the UK stock exchange although statistically significant. The notion of weak-form market efficient hypothesis was rejected although Athens Stock exchange was informationally efficient in terms of assimilation of the information from foreign markets.</w:t>
      </w:r>
    </w:p>
    <w:p w14:paraId="31927802"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1B6F6B5C" w14:textId="5B12B7BF" w:rsidR="001D694E" w:rsidRDefault="001D694E" w:rsidP="009E6088">
      <w:pPr>
        <w:pStyle w:val="NormalWeb"/>
        <w:shd w:val="clear" w:color="auto" w:fill="FFFFFF"/>
        <w:spacing w:before="0" w:beforeAutospacing="0" w:after="0" w:afterAutospacing="0"/>
        <w:ind w:firstLine="720"/>
        <w:jc w:val="both"/>
        <w:rPr>
          <w:bCs/>
        </w:rPr>
      </w:pPr>
      <w:r w:rsidRPr="001D694E">
        <w:rPr>
          <w:bCs/>
        </w:rPr>
        <w:t xml:space="preserve">The markets of Argentina, Chile, Mexico, USA, Venezuela, Colombia and Brazil were studied by </w:t>
      </w:r>
      <w:bookmarkStart w:id="9" w:name="_Hlk91600349"/>
      <w:r w:rsidRPr="001D694E">
        <w:rPr>
          <w:bCs/>
        </w:rPr>
        <w:t>Choudhry (1997)</w:t>
      </w:r>
      <w:bookmarkEnd w:id="9"/>
      <w:r w:rsidRPr="001D694E">
        <w:rPr>
          <w:bCs/>
        </w:rPr>
        <w:t xml:space="preserve"> for the period 1989 – 1993. The author applied Johansen </w:t>
      </w:r>
      <w:r w:rsidRPr="001D694E">
        <w:rPr>
          <w:bCs/>
        </w:rPr>
        <w:lastRenderedPageBreak/>
        <w:t>method for cointegration test and found that the markets were interrelated.</w:t>
      </w:r>
    </w:p>
    <w:p w14:paraId="781FFE1D"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1C765635" w14:textId="7E6495AB" w:rsidR="001D694E" w:rsidRDefault="001D694E" w:rsidP="009E6088">
      <w:pPr>
        <w:pStyle w:val="NormalWeb"/>
        <w:shd w:val="clear" w:color="auto" w:fill="FFFFFF"/>
        <w:spacing w:before="0" w:beforeAutospacing="0" w:after="0" w:afterAutospacing="0"/>
        <w:ind w:firstLine="720"/>
        <w:jc w:val="both"/>
        <w:rPr>
          <w:bCs/>
        </w:rPr>
      </w:pPr>
      <w:r w:rsidRPr="001D694E">
        <w:rPr>
          <w:bCs/>
        </w:rPr>
        <w:t xml:space="preserve">The markets of Taiwan, Singapore, South Korea and Hong Kong are investigated by </w:t>
      </w:r>
      <w:bookmarkStart w:id="10" w:name="_Hlk91600369"/>
      <w:r w:rsidRPr="001D694E">
        <w:rPr>
          <w:bCs/>
        </w:rPr>
        <w:t>Masih and Masih (1997)</w:t>
      </w:r>
      <w:bookmarkEnd w:id="10"/>
      <w:r w:rsidRPr="001D694E">
        <w:rPr>
          <w:bCs/>
        </w:rPr>
        <w:t xml:space="preserve"> along with the established markets of the USA, the UK, Japan and Germany. He employs Johansen method of cointegration in four alternate models each containing one established market and four regional markets. He finds long run relationship evidence in each of the four models.</w:t>
      </w:r>
    </w:p>
    <w:p w14:paraId="73CEBA21" w14:textId="77777777" w:rsidR="001D694E" w:rsidRPr="001D694E" w:rsidRDefault="001D694E" w:rsidP="009E6088">
      <w:pPr>
        <w:pStyle w:val="NormalWeb"/>
        <w:shd w:val="clear" w:color="auto" w:fill="FFFFFF"/>
        <w:spacing w:before="0" w:beforeAutospacing="0" w:after="0" w:afterAutospacing="0"/>
        <w:ind w:firstLine="720"/>
        <w:jc w:val="both"/>
        <w:rPr>
          <w:bCs/>
        </w:rPr>
      </w:pPr>
    </w:p>
    <w:p w14:paraId="02D5E20F" w14:textId="725980B5" w:rsidR="001D694E" w:rsidRDefault="001D694E" w:rsidP="009E6088">
      <w:pPr>
        <w:pStyle w:val="NormalWeb"/>
        <w:shd w:val="clear" w:color="auto" w:fill="FFFFFF"/>
        <w:spacing w:before="0" w:beforeAutospacing="0" w:after="0" w:afterAutospacing="0"/>
        <w:ind w:firstLine="720"/>
        <w:jc w:val="both"/>
        <w:rPr>
          <w:bCs/>
        </w:rPr>
      </w:pPr>
      <w:r w:rsidRPr="001D694E">
        <w:rPr>
          <w:bCs/>
        </w:rPr>
        <w:t xml:space="preserve">The markets of emerging Sri Lankan equity market and the stock markets of her trading associates (Hong Kong, the US, India, Singapore, Taiwan, Japan and South Korea) were examined using VAR. The authors found no significant relationships between the capital markets of Sri Lankan Island, the equity markets of Asia and the US. The authors suggest </w:t>
      </w:r>
      <w:bookmarkStart w:id="11" w:name="_Hlk91602086"/>
      <w:r w:rsidRPr="001D694E">
        <w:rPr>
          <w:bCs/>
        </w:rPr>
        <w:t>that less liquidity different barriers</w:t>
      </w:r>
      <w:bookmarkEnd w:id="11"/>
      <w:r w:rsidRPr="001D694E">
        <w:rPr>
          <w:bCs/>
        </w:rPr>
        <w:t xml:space="preserve"> on national investors were the probable explanations for these results </w:t>
      </w:r>
      <w:bookmarkStart w:id="12" w:name="_Hlk91600403"/>
      <w:proofErr w:type="spellStart"/>
      <w:r w:rsidRPr="001D694E">
        <w:rPr>
          <w:bCs/>
        </w:rPr>
        <w:t>Elyasiani</w:t>
      </w:r>
      <w:proofErr w:type="spellEnd"/>
      <w:r w:rsidRPr="001D694E">
        <w:rPr>
          <w:bCs/>
        </w:rPr>
        <w:t xml:space="preserve"> et.al. (1998)</w:t>
      </w:r>
      <w:bookmarkEnd w:id="12"/>
      <w:r w:rsidR="00C97D94">
        <w:rPr>
          <w:bCs/>
        </w:rPr>
        <w:t>.</w:t>
      </w:r>
    </w:p>
    <w:p w14:paraId="14A7544B"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624E12C5" w14:textId="6EAB9A2F" w:rsidR="001D694E" w:rsidRDefault="001D694E" w:rsidP="009E6088">
      <w:pPr>
        <w:pStyle w:val="NormalWeb"/>
        <w:shd w:val="clear" w:color="auto" w:fill="FFFFFF"/>
        <w:spacing w:before="0" w:beforeAutospacing="0" w:after="0" w:afterAutospacing="0"/>
        <w:ind w:firstLine="720"/>
        <w:jc w:val="both"/>
        <w:rPr>
          <w:bCs/>
        </w:rPr>
      </w:pPr>
      <w:bookmarkStart w:id="13" w:name="_Hlk91600430"/>
      <w:r w:rsidRPr="001D694E">
        <w:rPr>
          <w:bCs/>
        </w:rPr>
        <w:t xml:space="preserve">Huang, Yang and Hu (2000) </w:t>
      </w:r>
      <w:bookmarkEnd w:id="13"/>
      <w:r w:rsidRPr="001D694E">
        <w:rPr>
          <w:bCs/>
        </w:rPr>
        <w:t>used bi-variate cointegration test proposed by Engle –Granger and Granger causality test on a system of six stock markets including USA, China, Taiwan, Hong Kong, South China and Japan. The author found no long run relationship between the stock exchanges under investigation.</w:t>
      </w:r>
    </w:p>
    <w:p w14:paraId="4846F5C9"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6832E7AF" w14:textId="654FEB78" w:rsidR="001D694E" w:rsidRDefault="001D694E" w:rsidP="009E6088">
      <w:pPr>
        <w:pStyle w:val="NormalWeb"/>
        <w:shd w:val="clear" w:color="auto" w:fill="FFFFFF"/>
        <w:spacing w:before="0" w:beforeAutospacing="0" w:after="0" w:afterAutospacing="0"/>
        <w:ind w:firstLine="720"/>
        <w:jc w:val="both"/>
        <w:rPr>
          <w:bCs/>
        </w:rPr>
      </w:pPr>
      <w:bookmarkStart w:id="14" w:name="_Hlk91600480"/>
      <w:r w:rsidRPr="001D694E">
        <w:rPr>
          <w:bCs/>
        </w:rPr>
        <w:t>Chen et.al. (2000)</w:t>
      </w:r>
      <w:bookmarkEnd w:id="14"/>
      <w:r w:rsidRPr="001D694E">
        <w:rPr>
          <w:bCs/>
        </w:rPr>
        <w:t xml:space="preserve"> find cointegrating relationship between the markets of Brazil, Argentina, Chile, Mexico, Venezuela and Colombia in the long run till 1999; the period of study was from 1995 – 2000. The methodology employed was correlation and Johansen method.</w:t>
      </w:r>
    </w:p>
    <w:p w14:paraId="4609576D"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03EF066F" w14:textId="55054876" w:rsidR="001D694E" w:rsidRDefault="001D694E" w:rsidP="009E6088">
      <w:pPr>
        <w:pStyle w:val="NormalWeb"/>
        <w:shd w:val="clear" w:color="auto" w:fill="FFFFFF"/>
        <w:spacing w:before="0" w:beforeAutospacing="0" w:after="0" w:afterAutospacing="0"/>
        <w:ind w:firstLine="720"/>
        <w:jc w:val="both"/>
        <w:rPr>
          <w:bCs/>
        </w:rPr>
      </w:pPr>
      <w:bookmarkStart w:id="15" w:name="_Hlk91600509"/>
      <w:r w:rsidRPr="001D694E">
        <w:rPr>
          <w:bCs/>
        </w:rPr>
        <w:t>Fernandez and Rivero (2001)</w:t>
      </w:r>
      <w:bookmarkEnd w:id="15"/>
      <w:r w:rsidRPr="001D694E">
        <w:rPr>
          <w:bCs/>
        </w:rPr>
        <w:t xml:space="preserve"> studied the linkages between the stock markets of Asia over the time period 1977 – 1999 by using Cointegration techniques developed by Johansen which allow to include a structural break. The authors find no long run relationship if the possibility of structural breaks is excluded. If the possibility of structural break is allowed then evidence of significant relationships were found.</w:t>
      </w:r>
    </w:p>
    <w:p w14:paraId="46B9A7A4"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03D68C59" w14:textId="5B2099D1" w:rsidR="001D694E" w:rsidRDefault="001D694E" w:rsidP="009E6088">
      <w:pPr>
        <w:pStyle w:val="NormalWeb"/>
        <w:shd w:val="clear" w:color="auto" w:fill="FFFFFF"/>
        <w:spacing w:before="0" w:beforeAutospacing="0" w:after="0" w:afterAutospacing="0"/>
        <w:ind w:firstLine="720"/>
        <w:jc w:val="both"/>
        <w:rPr>
          <w:bCs/>
        </w:rPr>
      </w:pPr>
      <w:r w:rsidRPr="001D694E">
        <w:rPr>
          <w:bCs/>
        </w:rPr>
        <w:lastRenderedPageBreak/>
        <w:t xml:space="preserve">Similarly unnoticed linkages of Central European markets with their established counterparts in Europe and the United States were detected using the developed methodology. </w:t>
      </w:r>
      <w:bookmarkStart w:id="16" w:name="_Hlk91600544"/>
      <w:proofErr w:type="spellStart"/>
      <w:r w:rsidRPr="001D694E">
        <w:rPr>
          <w:bCs/>
        </w:rPr>
        <w:t>Voronkova</w:t>
      </w:r>
      <w:proofErr w:type="spellEnd"/>
      <w:r w:rsidRPr="001D694E">
        <w:rPr>
          <w:bCs/>
        </w:rPr>
        <w:t>, (2004)</w:t>
      </w:r>
      <w:bookmarkEnd w:id="16"/>
      <w:r w:rsidR="00C97D94">
        <w:rPr>
          <w:bCs/>
        </w:rPr>
        <w:t>.</w:t>
      </w:r>
    </w:p>
    <w:p w14:paraId="0CB9D8E5"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58D2D266" w14:textId="51CACB8F" w:rsidR="001D694E" w:rsidRDefault="001D694E" w:rsidP="009E6088">
      <w:pPr>
        <w:pStyle w:val="NormalWeb"/>
        <w:shd w:val="clear" w:color="auto" w:fill="FFFFFF"/>
        <w:spacing w:before="0" w:beforeAutospacing="0" w:after="0" w:afterAutospacing="0"/>
        <w:ind w:firstLine="720"/>
        <w:jc w:val="both"/>
        <w:rPr>
          <w:bCs/>
        </w:rPr>
      </w:pPr>
      <w:r w:rsidRPr="001D694E">
        <w:rPr>
          <w:bCs/>
        </w:rPr>
        <w:t xml:space="preserve">The post era of Asian financial crisis of 1997 has received attention from different researchers as far as the stock market linkages are concerned. The researchers found that market association between different Asian markets enhanced in magnitude after the crisis. </w:t>
      </w:r>
      <w:bookmarkStart w:id="17" w:name="_Hlk91601447"/>
      <w:r w:rsidRPr="001D694E">
        <w:rPr>
          <w:bCs/>
        </w:rPr>
        <w:t>Yang et.al. (2003).</w:t>
      </w:r>
      <w:bookmarkEnd w:id="17"/>
    </w:p>
    <w:p w14:paraId="6BF000B7"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2ADE895E" w14:textId="55AA447C" w:rsidR="001D694E" w:rsidRDefault="001D694E" w:rsidP="009E6088">
      <w:pPr>
        <w:pStyle w:val="NormalWeb"/>
        <w:shd w:val="clear" w:color="auto" w:fill="FFFFFF"/>
        <w:spacing w:before="0" w:beforeAutospacing="0" w:after="0" w:afterAutospacing="0"/>
        <w:ind w:firstLine="720"/>
        <w:jc w:val="both"/>
        <w:rPr>
          <w:bCs/>
        </w:rPr>
      </w:pPr>
      <w:r w:rsidRPr="001D694E">
        <w:rPr>
          <w:bCs/>
        </w:rPr>
        <w:t xml:space="preserve">The ASEAN-5 countries namely Indonesia, the Philippines, Malaysia, Thailand and Singapore along with the US market given its global impact and significance were investigated. The authors find that the financial crisis of Thailand Bhat increased the cointegration between the stock markets of the region. </w:t>
      </w:r>
      <w:bookmarkStart w:id="18" w:name="_Hlk91600681"/>
      <w:r w:rsidRPr="001D694E">
        <w:rPr>
          <w:bCs/>
        </w:rPr>
        <w:t>Wong et.al. (2007</w:t>
      </w:r>
      <w:bookmarkEnd w:id="18"/>
      <w:r w:rsidR="00C97D94">
        <w:rPr>
          <w:bCs/>
        </w:rPr>
        <w:t>).</w:t>
      </w:r>
    </w:p>
    <w:p w14:paraId="001224B0"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3648ADB8" w14:textId="3609D48A" w:rsidR="001D694E" w:rsidRDefault="001D694E" w:rsidP="009E6088">
      <w:pPr>
        <w:pStyle w:val="NormalWeb"/>
        <w:shd w:val="clear" w:color="auto" w:fill="FFFFFF"/>
        <w:spacing w:before="0" w:beforeAutospacing="0" w:after="0" w:afterAutospacing="0"/>
        <w:ind w:firstLine="720"/>
        <w:jc w:val="both"/>
        <w:rPr>
          <w:bCs/>
        </w:rPr>
      </w:pPr>
      <w:bookmarkStart w:id="19" w:name="_Hlk91600834"/>
      <w:r w:rsidRPr="001D694E">
        <w:rPr>
          <w:bCs/>
        </w:rPr>
        <w:t xml:space="preserve">Wahab and </w:t>
      </w:r>
      <w:proofErr w:type="spellStart"/>
      <w:r w:rsidRPr="001D694E">
        <w:rPr>
          <w:bCs/>
        </w:rPr>
        <w:t>Waheed</w:t>
      </w:r>
      <w:proofErr w:type="spellEnd"/>
      <w:r w:rsidRPr="001D694E">
        <w:rPr>
          <w:bCs/>
        </w:rPr>
        <w:t xml:space="preserve"> (2008) </w:t>
      </w:r>
      <w:bookmarkEnd w:id="19"/>
      <w:r w:rsidRPr="001D694E">
        <w:rPr>
          <w:bCs/>
        </w:rPr>
        <w:t>used graphical models and correlation analysis on nine stock markets of the world. They observe conditional relationship based on a structure between the financial returns of international stock markets.</w:t>
      </w:r>
    </w:p>
    <w:p w14:paraId="322B7857"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1D3D4C21" w14:textId="00826A58" w:rsidR="001D694E" w:rsidRDefault="001D694E" w:rsidP="009E6088">
      <w:pPr>
        <w:pStyle w:val="NormalWeb"/>
        <w:shd w:val="clear" w:color="auto" w:fill="FFFFFF"/>
        <w:spacing w:before="0" w:beforeAutospacing="0" w:after="0" w:afterAutospacing="0"/>
        <w:ind w:firstLine="720"/>
        <w:jc w:val="both"/>
        <w:rPr>
          <w:bCs/>
        </w:rPr>
      </w:pPr>
      <w:bookmarkStart w:id="20" w:name="_Hlk91601122"/>
      <w:r w:rsidRPr="001D694E">
        <w:rPr>
          <w:bCs/>
        </w:rPr>
        <w:t xml:space="preserve">Modi, et.al. (2010) </w:t>
      </w:r>
      <w:bookmarkEnd w:id="20"/>
      <w:r w:rsidRPr="001D694E">
        <w:rPr>
          <w:bCs/>
        </w:rPr>
        <w:t>found that the relationship of India with Brazil, Mexico. UK and the US is low. It is concluded therefore that these combinations provide an attractive combination for the diversification of the portfolio for the Indian investors. It is revealed that DOWJONES, MXX and NASDAQ are minimum reliant on other markets. The DJIA was found to be the influential market of the study. They used Granger – causality tests.</w:t>
      </w:r>
    </w:p>
    <w:p w14:paraId="2636594F"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539E5120" w14:textId="74E2C220" w:rsidR="001D694E" w:rsidRDefault="001D694E" w:rsidP="009E6088">
      <w:pPr>
        <w:pStyle w:val="NormalWeb"/>
        <w:shd w:val="clear" w:color="auto" w:fill="FFFFFF"/>
        <w:spacing w:before="0" w:beforeAutospacing="0" w:after="0" w:afterAutospacing="0"/>
        <w:ind w:firstLine="720"/>
        <w:jc w:val="both"/>
        <w:rPr>
          <w:bCs/>
        </w:rPr>
      </w:pPr>
      <w:r w:rsidRPr="001D694E">
        <w:rPr>
          <w:bCs/>
        </w:rPr>
        <w:t xml:space="preserve">The transition process of stock exchanges of CEE-4 stock markets namely Czech Republic, Slovakia, Poland and Hungary from different national markets to integrated markets of the world was studied by </w:t>
      </w:r>
      <w:proofErr w:type="spellStart"/>
      <w:r w:rsidRPr="001D694E">
        <w:rPr>
          <w:bCs/>
        </w:rPr>
        <w:t>Baumöhl</w:t>
      </w:r>
      <w:proofErr w:type="spellEnd"/>
      <w:r w:rsidRPr="001D694E">
        <w:rPr>
          <w:bCs/>
        </w:rPr>
        <w:t xml:space="preserve"> (2013). The developed markets of G7 countries were selected namely stock exchanges of the USA, Canada, Germany, France, Italy, Japan and the UK. The correlation between the markets was found to be around 0.60. The Slovakian stock Exchange appears to be the most segmented market of the study and isolated from rest of the others. The </w:t>
      </w:r>
      <w:r w:rsidRPr="001D694E">
        <w:rPr>
          <w:bCs/>
        </w:rPr>
        <w:lastRenderedPageBreak/>
        <w:t>relationship between the stock markets strengthened over the period of time.</w:t>
      </w:r>
    </w:p>
    <w:p w14:paraId="3A3E3335"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7B9B08DF" w14:textId="7F3F57EF" w:rsidR="001D694E" w:rsidRDefault="001D694E" w:rsidP="009E6088">
      <w:pPr>
        <w:pStyle w:val="NormalWeb"/>
        <w:shd w:val="clear" w:color="auto" w:fill="FFFFFF"/>
        <w:spacing w:before="0" w:beforeAutospacing="0" w:after="0" w:afterAutospacing="0"/>
        <w:ind w:firstLine="720"/>
        <w:jc w:val="both"/>
        <w:rPr>
          <w:bCs/>
        </w:rPr>
      </w:pPr>
      <w:bookmarkStart w:id="21" w:name="_Hlk91601180"/>
      <w:r w:rsidRPr="001D694E">
        <w:rPr>
          <w:bCs/>
        </w:rPr>
        <w:t>Yang et.al. (2014)</w:t>
      </w:r>
      <w:bookmarkEnd w:id="21"/>
      <w:r w:rsidRPr="001D694E">
        <w:rPr>
          <w:bCs/>
        </w:rPr>
        <w:t xml:space="preserve"> studied the cointegration relationships among 26 worldwide stock market indices over the periods of sub-prime and European debt crisis and their influence rank are investigated by developing and analyzing directed and weighted cointegration linkages. The methodology used is Engle – Granger methodology for testing of cointegration. The obtained results are shown as follows: the crises have altered cointegration relationships among stock market indices, their </w:t>
      </w:r>
      <w:bookmarkStart w:id="22" w:name="_Hlk91601209"/>
      <w:r w:rsidRPr="001D694E">
        <w:rPr>
          <w:bCs/>
        </w:rPr>
        <w:t>cointegration relationship amplified after the Lehman Brothers collapse</w:t>
      </w:r>
      <w:bookmarkEnd w:id="22"/>
      <w:r w:rsidRPr="001D694E">
        <w:rPr>
          <w:bCs/>
        </w:rPr>
        <w:t>, while the degree of cointegration progressively lessened from the sub-prime to European debt crisis.</w:t>
      </w:r>
    </w:p>
    <w:p w14:paraId="3C1D6A4E"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05B04176" w14:textId="528018A3" w:rsidR="001D694E" w:rsidRDefault="001D694E" w:rsidP="009E6088">
      <w:pPr>
        <w:pStyle w:val="NormalWeb"/>
        <w:shd w:val="clear" w:color="auto" w:fill="FFFFFF"/>
        <w:spacing w:before="0" w:beforeAutospacing="0" w:after="0" w:afterAutospacing="0"/>
        <w:ind w:firstLine="720"/>
        <w:jc w:val="both"/>
        <w:rPr>
          <w:bCs/>
        </w:rPr>
      </w:pPr>
      <w:bookmarkStart w:id="23" w:name="_Hlk91601270"/>
      <w:proofErr w:type="spellStart"/>
      <w:r w:rsidRPr="001D694E">
        <w:rPr>
          <w:bCs/>
        </w:rPr>
        <w:t>Hassouneh</w:t>
      </w:r>
      <w:proofErr w:type="spellEnd"/>
      <w:r w:rsidRPr="001D694E">
        <w:rPr>
          <w:bCs/>
        </w:rPr>
        <w:t xml:space="preserve">, et.al. (2017) </w:t>
      </w:r>
      <w:bookmarkEnd w:id="23"/>
      <w:r w:rsidRPr="001D694E">
        <w:rPr>
          <w:bCs/>
        </w:rPr>
        <w:t xml:space="preserve">built a violence index and used it as an exogenous variable in a VECM-MGARCH model on the Palestinian Stock exchange, the Israeli Stock exchange and the Jordanian Stock Exchange. Their findings suggest the existence of an equilibrium relationship between the three markets, which is essentially kept through Palestinian and Jordanian stock market adjustments and that equilibrium does not respond to increases in violence. An increase in violence has short-run direct negative impacts on the Palestinian stock </w:t>
      </w:r>
      <w:r w:rsidR="00C97D94" w:rsidRPr="001D694E">
        <w:rPr>
          <w:bCs/>
        </w:rPr>
        <w:t>exchange but</w:t>
      </w:r>
      <w:r w:rsidRPr="001D694E">
        <w:rPr>
          <w:bCs/>
        </w:rPr>
        <w:t xml:space="preserve"> does not directly influence the Israeli and Jordanian stock markets. The violence index is built by considering the number of daily casualties and fatalities that occurred in Palestine during the sample period.</w:t>
      </w:r>
    </w:p>
    <w:p w14:paraId="173E0161" w14:textId="77777777" w:rsidR="00C97D94" w:rsidRPr="001D694E" w:rsidRDefault="00C97D94" w:rsidP="009E6088">
      <w:pPr>
        <w:pStyle w:val="NormalWeb"/>
        <w:shd w:val="clear" w:color="auto" w:fill="FFFFFF"/>
        <w:spacing w:before="0" w:beforeAutospacing="0" w:after="0" w:afterAutospacing="0"/>
        <w:ind w:firstLine="720"/>
        <w:jc w:val="both"/>
        <w:rPr>
          <w:bCs/>
        </w:rPr>
      </w:pPr>
    </w:p>
    <w:p w14:paraId="14C470E4" w14:textId="76064124" w:rsidR="00DC4393" w:rsidRDefault="001D694E" w:rsidP="009E6088">
      <w:pPr>
        <w:pStyle w:val="NormalWeb"/>
        <w:shd w:val="clear" w:color="auto" w:fill="FFFFFF"/>
        <w:spacing w:before="0" w:beforeAutospacing="0" w:after="0" w:afterAutospacing="0"/>
        <w:ind w:firstLine="720"/>
        <w:jc w:val="both"/>
        <w:rPr>
          <w:bCs/>
        </w:rPr>
      </w:pPr>
      <w:r w:rsidRPr="001D694E">
        <w:rPr>
          <w:bCs/>
        </w:rPr>
        <w:t>Hence</w:t>
      </w:r>
      <w:r w:rsidR="00B06D43">
        <w:rPr>
          <w:bCs/>
        </w:rPr>
        <w:t>,</w:t>
      </w:r>
      <w:r w:rsidRPr="001D694E">
        <w:rPr>
          <w:bCs/>
        </w:rPr>
        <w:t xml:space="preserve"> </w:t>
      </w:r>
      <w:r w:rsidR="00B06D43" w:rsidRPr="001D694E">
        <w:rPr>
          <w:bCs/>
        </w:rPr>
        <w:t>considering</w:t>
      </w:r>
      <w:r w:rsidRPr="001D694E">
        <w:rPr>
          <w:bCs/>
        </w:rPr>
        <w:t xml:space="preserve"> above discussion, it is significant to explore the financial linkage among important emerging Asian economies with developed countries stock market.</w:t>
      </w:r>
    </w:p>
    <w:p w14:paraId="5C1B04D3" w14:textId="77777777" w:rsidR="00A54CE2" w:rsidRPr="00B27E77" w:rsidRDefault="00A54CE2" w:rsidP="009E6088">
      <w:pPr>
        <w:pStyle w:val="NormalWeb"/>
        <w:shd w:val="clear" w:color="auto" w:fill="FFFFFF"/>
        <w:spacing w:before="0" w:beforeAutospacing="0" w:after="0" w:afterAutospacing="0"/>
        <w:ind w:firstLine="720"/>
        <w:jc w:val="both"/>
        <w:rPr>
          <w:bCs/>
        </w:rPr>
      </w:pPr>
    </w:p>
    <w:p w14:paraId="0265EA02" w14:textId="0C8B420E" w:rsidR="00A54CE2" w:rsidRPr="00A54CE2" w:rsidRDefault="00DD7712" w:rsidP="00C956BA">
      <w:pPr>
        <w:pStyle w:val="Heading1"/>
        <w:numPr>
          <w:ilvl w:val="0"/>
          <w:numId w:val="3"/>
        </w:numPr>
        <w:ind w:left="709" w:hanging="709"/>
        <w:rPr>
          <w:rFonts w:asciiTheme="majorBidi" w:eastAsiaTheme="minorEastAsia" w:hAnsiTheme="majorBidi" w:cstheme="majorBidi"/>
        </w:rPr>
      </w:pPr>
      <w:r>
        <w:rPr>
          <w:rFonts w:asciiTheme="majorBidi" w:eastAsiaTheme="minorEastAsia" w:hAnsiTheme="majorBidi" w:cstheme="majorBidi"/>
        </w:rPr>
        <w:t xml:space="preserve">Empirical </w:t>
      </w:r>
      <w:r w:rsidR="00A54CE2" w:rsidRPr="00A54CE2">
        <w:rPr>
          <w:rFonts w:asciiTheme="majorBidi" w:eastAsiaTheme="minorEastAsia" w:hAnsiTheme="majorBidi" w:cstheme="majorBidi"/>
        </w:rPr>
        <w:t>Methodology</w:t>
      </w:r>
    </w:p>
    <w:p w14:paraId="40317438" w14:textId="5E7386F8" w:rsidR="00DD7712" w:rsidRPr="00DD7712" w:rsidRDefault="00DD7712" w:rsidP="009E6088">
      <w:pPr>
        <w:pStyle w:val="NormalWeb"/>
        <w:shd w:val="clear" w:color="auto" w:fill="FFFFFF"/>
        <w:spacing w:before="0" w:beforeAutospacing="0" w:after="0" w:afterAutospacing="0"/>
        <w:ind w:firstLine="720"/>
        <w:jc w:val="both"/>
        <w:rPr>
          <w:bCs/>
        </w:rPr>
      </w:pPr>
      <w:r>
        <w:rPr>
          <w:bCs/>
        </w:rPr>
        <w:t>This paper</w:t>
      </w:r>
      <w:r w:rsidRPr="000E24C2">
        <w:rPr>
          <w:bCs/>
        </w:rPr>
        <w:t xml:space="preserve"> intends to investigate the dynamic linkages </w:t>
      </w:r>
      <w:r>
        <w:rPr>
          <w:bCs/>
        </w:rPr>
        <w:t xml:space="preserve">in terms of co-movements </w:t>
      </w:r>
      <w:r w:rsidRPr="000E24C2">
        <w:rPr>
          <w:bCs/>
        </w:rPr>
        <w:t xml:space="preserve">between stock markets by applying the cointegration framework proposed by Johansen on weekly data in four alternative models of three Asian </w:t>
      </w:r>
      <w:r w:rsidRPr="005C544E">
        <w:rPr>
          <w:bCs/>
        </w:rPr>
        <w:t xml:space="preserve">Stock Exchanges namely Pakistan </w:t>
      </w:r>
      <w:r w:rsidRPr="000E24C2">
        <w:rPr>
          <w:bCs/>
        </w:rPr>
        <w:t>Stock Exchange Index, Chinese stock exchange, Indian stock exch</w:t>
      </w:r>
      <w:r>
        <w:rPr>
          <w:bCs/>
        </w:rPr>
        <w:t>ange and one established market</w:t>
      </w:r>
      <w:r w:rsidRPr="000E24C2">
        <w:rPr>
          <w:bCs/>
        </w:rPr>
        <w:t xml:space="preserve"> out of four markets of Japan, USA, UK and Germany. </w:t>
      </w:r>
      <w:r>
        <w:rPr>
          <w:bCs/>
        </w:rPr>
        <w:t xml:space="preserve">Hussain et.al. (2009), Khan </w:t>
      </w:r>
      <w:r>
        <w:rPr>
          <w:bCs/>
        </w:rPr>
        <w:lastRenderedPageBreak/>
        <w:t>(2011),</w:t>
      </w:r>
      <w:r w:rsidRPr="00DD7712">
        <w:rPr>
          <w:bCs/>
        </w:rPr>
        <w:t xml:space="preserve"> Harper et.al (2013),</w:t>
      </w:r>
      <w:r>
        <w:rPr>
          <w:bCs/>
        </w:rPr>
        <w:t xml:space="preserve"> Sadia et.al (2020), </w:t>
      </w:r>
      <w:proofErr w:type="spellStart"/>
      <w:r>
        <w:rPr>
          <w:bCs/>
        </w:rPr>
        <w:t>Baig</w:t>
      </w:r>
      <w:proofErr w:type="spellEnd"/>
      <w:r>
        <w:rPr>
          <w:bCs/>
        </w:rPr>
        <w:t xml:space="preserve"> (2014), Lal et. al. (2016) and Ali et.al (2018) used The Johansen method for cointegration Granger causality and VECM for short and long-run adjustment. </w:t>
      </w:r>
      <w:r w:rsidRPr="000E24C2">
        <w:rPr>
          <w:bCs/>
        </w:rPr>
        <w:t>The cointegration framework proposed by Engle-Granger is not applied on the group of stock markets rather the cointegration framework proposed by Johansen is applied. The Johansen method allows to detect more than one cointegrating relationship in the model. The Engle-Granger method provides a foundation for the Johansen method of cointegration. After confirming the presence of cointegration, next step will be to formulate VECM to investigate short-run and long-run dynamic relationships followed by Granger causality tests, Variance decomposition analysis and impulse response functions of the four models</w:t>
      </w:r>
      <w:r>
        <w:rPr>
          <w:bCs/>
        </w:rPr>
        <w:t>.</w:t>
      </w:r>
    </w:p>
    <w:p w14:paraId="06BDF375" w14:textId="77777777" w:rsidR="00DD7712" w:rsidRPr="00A54CE2" w:rsidRDefault="00DD7712" w:rsidP="009E6088">
      <w:pPr>
        <w:pStyle w:val="NormalWeb"/>
        <w:shd w:val="clear" w:color="auto" w:fill="FFFFFF"/>
        <w:spacing w:before="0" w:beforeAutospacing="0" w:after="0" w:afterAutospacing="0"/>
        <w:ind w:firstLine="720"/>
        <w:jc w:val="both"/>
        <w:rPr>
          <w:bCs/>
        </w:rPr>
      </w:pPr>
    </w:p>
    <w:p w14:paraId="56EB5E6D" w14:textId="77777777" w:rsidR="00DD7712" w:rsidRPr="00DD7712" w:rsidRDefault="00DD7712" w:rsidP="00C956BA">
      <w:pPr>
        <w:pStyle w:val="Heading1"/>
        <w:numPr>
          <w:ilvl w:val="0"/>
          <w:numId w:val="3"/>
        </w:numPr>
        <w:ind w:left="709" w:hanging="709"/>
        <w:rPr>
          <w:rFonts w:asciiTheme="majorBidi" w:eastAsiaTheme="minorEastAsia" w:hAnsiTheme="majorBidi" w:cstheme="majorBidi"/>
        </w:rPr>
      </w:pPr>
      <w:r w:rsidRPr="00DD7712">
        <w:rPr>
          <w:rFonts w:asciiTheme="majorBidi" w:eastAsiaTheme="minorEastAsia" w:hAnsiTheme="majorBidi" w:cstheme="majorBidi"/>
        </w:rPr>
        <w:t>Data and empirical results</w:t>
      </w:r>
    </w:p>
    <w:p w14:paraId="31E03A36" w14:textId="541E7ADD" w:rsidR="00F15150" w:rsidRDefault="00DD7712" w:rsidP="009E6088">
      <w:pPr>
        <w:pStyle w:val="NormalWeb"/>
        <w:shd w:val="clear" w:color="auto" w:fill="FFFFFF"/>
        <w:spacing w:before="0" w:beforeAutospacing="0" w:after="0" w:afterAutospacing="0"/>
        <w:ind w:firstLine="720"/>
        <w:jc w:val="both"/>
        <w:rPr>
          <w:bCs/>
        </w:rPr>
      </w:pPr>
      <w:r w:rsidRPr="00DD7712">
        <w:rPr>
          <w:bCs/>
        </w:rPr>
        <w:t>The markets included in the study are the USA (S&amp;P 500), Germany (DAX 30), UK (FTSE – 100), Japan (NIKKEI – 225), Pakistan (PSX – 100), China (SSEC) and India (NIFTY – 50). The data comprises end-of-the week values of selected stock market indices. The markets of Pakistan, China and India are included as regional markets and four established markets of Germany (GER), United kingdom (UK), United States (US) and Japan (JN). The time period selected is around a significant event of the financial crisis that initiated due to the defaults of buyers in the mortgage market and culminated when Lehman Brothers Holding Inc. filed for the bankruptcy of the investment bank in 2008.</w:t>
      </w:r>
    </w:p>
    <w:p w14:paraId="06BE786C" w14:textId="77777777" w:rsidR="00F15150" w:rsidRDefault="00F15150" w:rsidP="009E6088">
      <w:pPr>
        <w:pStyle w:val="NormalWeb"/>
        <w:shd w:val="clear" w:color="auto" w:fill="FFFFFF"/>
        <w:spacing w:before="0" w:beforeAutospacing="0" w:after="0" w:afterAutospacing="0"/>
        <w:ind w:firstLine="720"/>
        <w:jc w:val="both"/>
        <w:rPr>
          <w:bCs/>
        </w:rPr>
      </w:pPr>
    </w:p>
    <w:p w14:paraId="7676FD4C" w14:textId="109CB635" w:rsidR="00DD7712" w:rsidRDefault="00DD7712" w:rsidP="009E6088">
      <w:pPr>
        <w:pStyle w:val="NormalWeb"/>
        <w:shd w:val="clear" w:color="auto" w:fill="FFFFFF"/>
        <w:spacing w:before="0" w:beforeAutospacing="0" w:after="0" w:afterAutospacing="0"/>
        <w:ind w:firstLine="720"/>
        <w:jc w:val="both"/>
        <w:rPr>
          <w:bCs/>
        </w:rPr>
      </w:pPr>
      <w:r w:rsidRPr="00DD7712">
        <w:rPr>
          <w:bCs/>
        </w:rPr>
        <w:t>The data include eight years before March 2008 and eight years after March 2008. The sample size of eight years (416 observations) is chosen to include ample period before and after the financial crisis. This will allow us to investigate that whether the event has changed the dynamics of the stock market or not. The estimation</w:t>
      </w:r>
      <w:r w:rsidR="00F15150">
        <w:rPr>
          <w:bCs/>
        </w:rPr>
        <w:t xml:space="preserve"> is</w:t>
      </w:r>
      <w:r w:rsidRPr="00DD7712">
        <w:rPr>
          <w:bCs/>
        </w:rPr>
        <w:t xml:space="preserve"> done separately on the two data sets to allow us to infer that whether the stock market integration has been affected after the period of crisis or not. All the data has been sourced from yahoo finance, except for the nifty and the respective websites of the stock exchanges included in the study. The website of yahoo finance has been used by researchers Khan (2011) and Harper, </w:t>
      </w:r>
      <w:proofErr w:type="spellStart"/>
      <w:r w:rsidRPr="00DD7712">
        <w:rPr>
          <w:bCs/>
        </w:rPr>
        <w:t>Jin</w:t>
      </w:r>
      <w:proofErr w:type="spellEnd"/>
      <w:r w:rsidRPr="00DD7712">
        <w:rPr>
          <w:bCs/>
        </w:rPr>
        <w:t xml:space="preserve">, </w:t>
      </w:r>
      <w:r w:rsidRPr="00DD7712">
        <w:rPr>
          <w:bCs/>
        </w:rPr>
        <w:lastRenderedPageBreak/>
        <w:t xml:space="preserve">&amp; </w:t>
      </w:r>
      <w:proofErr w:type="spellStart"/>
      <w:r w:rsidRPr="00DD7712">
        <w:rPr>
          <w:bCs/>
        </w:rPr>
        <w:t>Gleghorn</w:t>
      </w:r>
      <w:proofErr w:type="spellEnd"/>
      <w:r w:rsidRPr="00DD7712">
        <w:rPr>
          <w:bCs/>
        </w:rPr>
        <w:t xml:space="preserve"> (2013). The stock price indices of the Asian markets are graphically presented in Figure 1.</w:t>
      </w:r>
    </w:p>
    <w:p w14:paraId="5C283361" w14:textId="1BCCA0F0" w:rsidR="000D5F89" w:rsidRPr="000D5F89" w:rsidRDefault="00F15150" w:rsidP="009E6088">
      <w:pPr>
        <w:pStyle w:val="NormalWeb"/>
        <w:shd w:val="clear" w:color="auto" w:fill="FFFFFF"/>
        <w:spacing w:before="0" w:beforeAutospacing="0" w:after="0" w:afterAutospacing="0"/>
        <w:jc w:val="both"/>
        <w:rPr>
          <w:b/>
          <w:sz w:val="20"/>
          <w:szCs w:val="20"/>
        </w:rPr>
      </w:pPr>
      <w:r w:rsidRPr="000D5F89">
        <w:rPr>
          <w:b/>
          <w:sz w:val="20"/>
          <w:szCs w:val="20"/>
        </w:rPr>
        <w:t>Figure 1</w:t>
      </w:r>
    </w:p>
    <w:p w14:paraId="4F7A6D8B" w14:textId="658DC4A1" w:rsidR="00F15150" w:rsidRPr="000D5F89" w:rsidRDefault="00F15150" w:rsidP="009E6088">
      <w:pPr>
        <w:pStyle w:val="NormalWeb"/>
        <w:shd w:val="clear" w:color="auto" w:fill="FFFFFF"/>
        <w:spacing w:before="0" w:beforeAutospacing="0" w:after="0" w:afterAutospacing="0"/>
        <w:jc w:val="both"/>
        <w:rPr>
          <w:b/>
          <w:i/>
          <w:iCs/>
          <w:sz w:val="20"/>
          <w:szCs w:val="20"/>
        </w:rPr>
      </w:pPr>
      <w:r w:rsidRPr="000D5F89">
        <w:rPr>
          <w:b/>
          <w:i/>
          <w:iCs/>
          <w:sz w:val="20"/>
          <w:szCs w:val="20"/>
        </w:rPr>
        <w:t>Stock price indices of Asian countries from the period</w:t>
      </w:r>
      <w:r w:rsidR="008D316C">
        <w:rPr>
          <w:b/>
          <w:i/>
          <w:iCs/>
          <w:sz w:val="20"/>
          <w:szCs w:val="20"/>
        </w:rPr>
        <w:t xml:space="preserve"> (March 2008 to 2016)</w:t>
      </w:r>
    </w:p>
    <w:p w14:paraId="4DE03941" w14:textId="6FEE11C5" w:rsidR="00DD7712" w:rsidRDefault="000D5F89" w:rsidP="009E6088">
      <w:pPr>
        <w:spacing w:line="240" w:lineRule="auto"/>
        <w:jc w:val="both"/>
        <w:rPr>
          <w:rFonts w:cs="Times New Roman"/>
          <w:szCs w:val="24"/>
        </w:rPr>
      </w:pPr>
      <w:r>
        <w:rPr>
          <w:noProof/>
        </w:rPr>
        <w:drawing>
          <wp:inline distT="0" distB="0" distL="0" distR="0" wp14:anchorId="27B2436E" wp14:editId="5AF006DE">
            <wp:extent cx="4235450" cy="2481580"/>
            <wp:effectExtent l="0" t="0" r="0" b="0"/>
            <wp:docPr id="19" name="Picture 1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histo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740" cy="2481750"/>
                    </a:xfrm>
                    <a:prstGeom prst="rect">
                      <a:avLst/>
                    </a:prstGeom>
                    <a:noFill/>
                    <a:ln>
                      <a:noFill/>
                    </a:ln>
                  </pic:spPr>
                </pic:pic>
              </a:graphicData>
            </a:graphic>
          </wp:inline>
        </w:drawing>
      </w:r>
    </w:p>
    <w:p w14:paraId="6706D922" w14:textId="279D9ED2" w:rsidR="008D316C" w:rsidRDefault="008D316C" w:rsidP="009E6088">
      <w:pPr>
        <w:pStyle w:val="NormalWeb"/>
        <w:shd w:val="clear" w:color="auto" w:fill="FFFFFF"/>
        <w:spacing w:before="0" w:beforeAutospacing="0" w:after="0" w:afterAutospacing="0"/>
        <w:ind w:firstLine="720"/>
        <w:jc w:val="both"/>
        <w:rPr>
          <w:bCs/>
        </w:rPr>
      </w:pPr>
      <w:r w:rsidRPr="00DD7712">
        <w:rPr>
          <w:bCs/>
        </w:rPr>
        <w:t>Whereas Fig.2 show the stock price indices of the established markets. The indices are of the post era of global financial crisis.</w:t>
      </w:r>
    </w:p>
    <w:p w14:paraId="64E2A073" w14:textId="77777777" w:rsidR="00A313A3" w:rsidRDefault="00A313A3" w:rsidP="009E6088">
      <w:pPr>
        <w:pStyle w:val="NormalWeb"/>
        <w:shd w:val="clear" w:color="auto" w:fill="FFFFFF"/>
        <w:spacing w:before="0" w:beforeAutospacing="0" w:after="0" w:afterAutospacing="0"/>
        <w:ind w:firstLine="720"/>
        <w:jc w:val="both"/>
        <w:rPr>
          <w:bCs/>
        </w:rPr>
      </w:pPr>
    </w:p>
    <w:p w14:paraId="0072630A" w14:textId="4319A2A9" w:rsidR="00A313A3" w:rsidRDefault="00A313A3" w:rsidP="009E6088">
      <w:pPr>
        <w:pStyle w:val="NormalWeb"/>
        <w:shd w:val="clear" w:color="auto" w:fill="FFFFFF"/>
        <w:spacing w:before="0" w:beforeAutospacing="0" w:after="0" w:afterAutospacing="0"/>
        <w:jc w:val="both"/>
        <w:rPr>
          <w:b/>
          <w:sz w:val="20"/>
          <w:szCs w:val="20"/>
        </w:rPr>
      </w:pPr>
      <w:r w:rsidRPr="00A313A3">
        <w:rPr>
          <w:b/>
          <w:sz w:val="20"/>
          <w:szCs w:val="20"/>
        </w:rPr>
        <w:t>Fig</w:t>
      </w:r>
      <w:r>
        <w:rPr>
          <w:b/>
          <w:sz w:val="20"/>
          <w:szCs w:val="20"/>
        </w:rPr>
        <w:t>ure</w:t>
      </w:r>
      <w:r w:rsidRPr="00A313A3">
        <w:rPr>
          <w:b/>
          <w:sz w:val="20"/>
          <w:szCs w:val="20"/>
        </w:rPr>
        <w:t xml:space="preserve"> 2</w:t>
      </w:r>
    </w:p>
    <w:p w14:paraId="4ACA4F98" w14:textId="3F960DDD" w:rsidR="00A313A3" w:rsidRDefault="00A313A3" w:rsidP="009E6088">
      <w:pPr>
        <w:pStyle w:val="NormalWeb"/>
        <w:shd w:val="clear" w:color="auto" w:fill="FFFFFF"/>
        <w:spacing w:before="0" w:beforeAutospacing="0" w:after="0" w:afterAutospacing="0"/>
        <w:jc w:val="both"/>
        <w:rPr>
          <w:b/>
          <w:i/>
          <w:iCs/>
          <w:sz w:val="20"/>
          <w:szCs w:val="20"/>
        </w:rPr>
      </w:pPr>
      <w:r w:rsidRPr="00A313A3">
        <w:rPr>
          <w:b/>
          <w:i/>
          <w:iCs/>
          <w:sz w:val="20"/>
          <w:szCs w:val="20"/>
        </w:rPr>
        <w:t>Stock price indices of established countries (March 2008 to 2016)</w:t>
      </w:r>
    </w:p>
    <w:p w14:paraId="4CA96397" w14:textId="159AF75D" w:rsidR="00DD7712" w:rsidRDefault="005122E4" w:rsidP="009E6088">
      <w:pPr>
        <w:spacing w:line="240" w:lineRule="auto"/>
        <w:jc w:val="both"/>
      </w:pPr>
      <w:r>
        <w:object w:dxaOrig="7320" w:dyaOrig="5085" w14:anchorId="45D07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01.75pt" o:ole="">
            <v:imagedata r:id="rId9" o:title=""/>
          </v:shape>
          <o:OLEObject Type="Embed" ProgID="EViews.Workfile.2" ShapeID="_x0000_i1025" DrawAspect="Content" ObjectID="_1704528809" r:id="rId10"/>
        </w:object>
      </w:r>
    </w:p>
    <w:p w14:paraId="4AEC2F09" w14:textId="1F953B09" w:rsidR="00A313A3" w:rsidRDefault="00A313A3" w:rsidP="009E6088">
      <w:pPr>
        <w:pStyle w:val="NormalWeb"/>
        <w:shd w:val="clear" w:color="auto" w:fill="FFFFFF"/>
        <w:spacing w:before="0" w:beforeAutospacing="0" w:after="0" w:afterAutospacing="0"/>
        <w:ind w:firstLine="720"/>
        <w:jc w:val="both"/>
        <w:rPr>
          <w:bCs/>
        </w:rPr>
      </w:pPr>
      <w:r w:rsidRPr="00A313A3">
        <w:rPr>
          <w:bCs/>
        </w:rPr>
        <w:lastRenderedPageBreak/>
        <w:t>Figure 3 and 4 show the graphical representation of the Asian markets and the established markets for the period ranging from March 2001 to February 2008. The period shows the era of the pre global financial crisis. The data has been applied natural logarithm for several reasons as it allows the coefficients to be interpreted as percentages.</w:t>
      </w:r>
    </w:p>
    <w:p w14:paraId="3B068723" w14:textId="77777777" w:rsidR="006D4D2A" w:rsidRPr="00A313A3" w:rsidRDefault="006D4D2A" w:rsidP="009E6088">
      <w:pPr>
        <w:pStyle w:val="NormalWeb"/>
        <w:shd w:val="clear" w:color="auto" w:fill="FFFFFF"/>
        <w:spacing w:before="0" w:beforeAutospacing="0" w:after="0" w:afterAutospacing="0"/>
        <w:ind w:firstLine="720"/>
        <w:jc w:val="both"/>
        <w:rPr>
          <w:bCs/>
        </w:rPr>
      </w:pPr>
    </w:p>
    <w:p w14:paraId="052644E5" w14:textId="6EF1588A" w:rsidR="00A313A3" w:rsidRDefault="00A313A3" w:rsidP="009E6088">
      <w:pPr>
        <w:pStyle w:val="NormalWeb"/>
        <w:shd w:val="clear" w:color="auto" w:fill="FFFFFF"/>
        <w:spacing w:before="0" w:beforeAutospacing="0" w:after="0" w:afterAutospacing="0"/>
        <w:jc w:val="both"/>
        <w:rPr>
          <w:b/>
          <w:sz w:val="20"/>
          <w:szCs w:val="20"/>
        </w:rPr>
      </w:pPr>
      <w:r w:rsidRPr="00A313A3">
        <w:rPr>
          <w:b/>
          <w:sz w:val="20"/>
          <w:szCs w:val="20"/>
        </w:rPr>
        <w:t>Figure 3</w:t>
      </w:r>
    </w:p>
    <w:p w14:paraId="153E2A9B" w14:textId="76C8103C" w:rsidR="00A313A3" w:rsidRPr="00A313A3" w:rsidRDefault="00A313A3" w:rsidP="009E6088">
      <w:pPr>
        <w:pStyle w:val="NormalWeb"/>
        <w:shd w:val="clear" w:color="auto" w:fill="FFFFFF"/>
        <w:spacing w:before="0" w:beforeAutospacing="0" w:after="0" w:afterAutospacing="0"/>
        <w:jc w:val="both"/>
        <w:rPr>
          <w:b/>
          <w:i/>
          <w:iCs/>
          <w:sz w:val="20"/>
          <w:szCs w:val="20"/>
        </w:rPr>
      </w:pPr>
      <w:r w:rsidRPr="00A313A3">
        <w:rPr>
          <w:b/>
          <w:i/>
          <w:iCs/>
          <w:sz w:val="20"/>
          <w:szCs w:val="20"/>
        </w:rPr>
        <w:t>Stock price indices of Asian countries from the period March 2001 to 2008</w:t>
      </w:r>
    </w:p>
    <w:p w14:paraId="5902B6E7" w14:textId="1B02D1FB" w:rsidR="00DD7712" w:rsidRDefault="00DD7712" w:rsidP="009E6088">
      <w:pPr>
        <w:spacing w:line="240" w:lineRule="auto"/>
        <w:ind w:left="90"/>
        <w:jc w:val="both"/>
        <w:rPr>
          <w:rFonts w:cs="Times New Roman"/>
          <w:szCs w:val="24"/>
        </w:rPr>
      </w:pPr>
      <w:r>
        <w:rPr>
          <w:rFonts w:cs="Times New Roman"/>
          <w:noProof/>
          <w:szCs w:val="24"/>
        </w:rPr>
        <w:drawing>
          <wp:inline distT="0" distB="0" distL="0" distR="0" wp14:anchorId="64903F64" wp14:editId="7020710B">
            <wp:extent cx="4165600" cy="2241550"/>
            <wp:effectExtent l="0" t="0" r="6350" b="6350"/>
            <wp:docPr id="23" name="Picture 2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histo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600" cy="2241550"/>
                    </a:xfrm>
                    <a:prstGeom prst="rect">
                      <a:avLst/>
                    </a:prstGeom>
                    <a:noFill/>
                    <a:ln>
                      <a:noFill/>
                    </a:ln>
                  </pic:spPr>
                </pic:pic>
              </a:graphicData>
            </a:graphic>
          </wp:inline>
        </w:drawing>
      </w:r>
    </w:p>
    <w:p w14:paraId="1FED6DED" w14:textId="0B754EED" w:rsidR="008431C2" w:rsidRDefault="008431C2" w:rsidP="009E6088">
      <w:pPr>
        <w:pStyle w:val="NormalWeb"/>
        <w:shd w:val="clear" w:color="auto" w:fill="FFFFFF"/>
        <w:spacing w:before="0" w:beforeAutospacing="0" w:after="0" w:afterAutospacing="0"/>
        <w:jc w:val="both"/>
        <w:rPr>
          <w:b/>
          <w:sz w:val="20"/>
          <w:szCs w:val="20"/>
        </w:rPr>
      </w:pPr>
      <w:r w:rsidRPr="008431C2">
        <w:rPr>
          <w:b/>
          <w:sz w:val="20"/>
          <w:szCs w:val="20"/>
        </w:rPr>
        <w:t>Fig</w:t>
      </w:r>
      <w:r>
        <w:rPr>
          <w:b/>
          <w:sz w:val="20"/>
          <w:szCs w:val="20"/>
        </w:rPr>
        <w:t xml:space="preserve">ure </w:t>
      </w:r>
      <w:r w:rsidRPr="008431C2">
        <w:rPr>
          <w:b/>
          <w:sz w:val="20"/>
          <w:szCs w:val="20"/>
        </w:rPr>
        <w:t>4</w:t>
      </w:r>
    </w:p>
    <w:p w14:paraId="30FABE16" w14:textId="4B9B4D33" w:rsidR="008431C2" w:rsidRPr="008431C2" w:rsidRDefault="008431C2" w:rsidP="009E6088">
      <w:pPr>
        <w:pStyle w:val="NormalWeb"/>
        <w:shd w:val="clear" w:color="auto" w:fill="FFFFFF"/>
        <w:spacing w:before="0" w:beforeAutospacing="0" w:after="0" w:afterAutospacing="0"/>
        <w:jc w:val="both"/>
        <w:rPr>
          <w:b/>
          <w:i/>
          <w:iCs/>
          <w:sz w:val="20"/>
          <w:szCs w:val="20"/>
        </w:rPr>
      </w:pPr>
      <w:r w:rsidRPr="008431C2">
        <w:rPr>
          <w:b/>
          <w:i/>
          <w:iCs/>
          <w:sz w:val="20"/>
          <w:szCs w:val="20"/>
        </w:rPr>
        <w:t>Stock price indices of established countries from the period March 2001 to March 2008</w:t>
      </w:r>
    </w:p>
    <w:p w14:paraId="34A8041D" w14:textId="7A61CE8F" w:rsidR="00DD7712" w:rsidRPr="000E24C2" w:rsidRDefault="00DD7712" w:rsidP="009E6088">
      <w:pPr>
        <w:spacing w:line="240" w:lineRule="auto"/>
        <w:jc w:val="both"/>
        <w:rPr>
          <w:rFonts w:cs="Times New Roman"/>
          <w:szCs w:val="24"/>
        </w:rPr>
      </w:pPr>
      <w:r>
        <w:rPr>
          <w:rFonts w:cs="Times New Roman"/>
          <w:noProof/>
          <w:szCs w:val="24"/>
        </w:rPr>
        <w:drawing>
          <wp:inline distT="0" distB="0" distL="0" distR="0" wp14:anchorId="0F530346" wp14:editId="0B096FC7">
            <wp:extent cx="4145729" cy="2228850"/>
            <wp:effectExtent l="0" t="0" r="7620" b="0"/>
            <wp:docPr id="24" name="Picture 2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histo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3097" cy="2248940"/>
                    </a:xfrm>
                    <a:prstGeom prst="rect">
                      <a:avLst/>
                    </a:prstGeom>
                    <a:noFill/>
                    <a:ln>
                      <a:noFill/>
                    </a:ln>
                  </pic:spPr>
                </pic:pic>
              </a:graphicData>
            </a:graphic>
          </wp:inline>
        </w:drawing>
      </w:r>
    </w:p>
    <w:p w14:paraId="42B55B08" w14:textId="265E86CC" w:rsidR="00DD7712" w:rsidRPr="0088572A" w:rsidRDefault="00DD7712" w:rsidP="00AB13D4">
      <w:pPr>
        <w:pStyle w:val="Heading2"/>
      </w:pPr>
      <w:r w:rsidRPr="0088572A">
        <w:lastRenderedPageBreak/>
        <w:t xml:space="preserve">Tests </w:t>
      </w:r>
      <w:r w:rsidR="00366050">
        <w:t>f</w:t>
      </w:r>
      <w:r w:rsidR="00366050" w:rsidRPr="0088572A">
        <w:t xml:space="preserve">or Univariate Integration: Tests </w:t>
      </w:r>
      <w:r w:rsidR="00366050">
        <w:t>o</w:t>
      </w:r>
      <w:r w:rsidR="00366050" w:rsidRPr="0088572A">
        <w:t xml:space="preserve">f </w:t>
      </w:r>
      <w:r w:rsidR="00366050">
        <w:t>t</w:t>
      </w:r>
      <w:r w:rsidR="00366050" w:rsidRPr="0088572A">
        <w:t>he Unit Root Hypothesis</w:t>
      </w:r>
    </w:p>
    <w:p w14:paraId="427228DC" w14:textId="13FD001B" w:rsidR="00DD7712" w:rsidRDefault="00DD7712" w:rsidP="009E6088">
      <w:pPr>
        <w:pStyle w:val="NormalWeb"/>
        <w:shd w:val="clear" w:color="auto" w:fill="FFFFFF"/>
        <w:spacing w:before="0" w:beforeAutospacing="0" w:after="0" w:afterAutospacing="0"/>
        <w:ind w:firstLine="720"/>
        <w:jc w:val="both"/>
        <w:rPr>
          <w:bCs/>
        </w:rPr>
      </w:pPr>
      <w:r w:rsidRPr="006D4D2A">
        <w:rPr>
          <w:bCs/>
        </w:rPr>
        <w:t xml:space="preserve">A </w:t>
      </w:r>
      <w:r w:rsidR="005E73DD" w:rsidRPr="006D4D2A">
        <w:rPr>
          <w:bCs/>
        </w:rPr>
        <w:t>prerequisite</w:t>
      </w:r>
      <w:r w:rsidRPr="006D4D2A">
        <w:rPr>
          <w:bCs/>
        </w:rPr>
        <w:t xml:space="preserve"> for performing cointegration test is to make sure that each individual series of the data is non-stationary. To determine that whether each series is stationary or not, Augmented Dickey Fuller test has performed with intercept on all seven series for pre and post data. The results of the ADF Tests are reported in the table </w:t>
      </w:r>
      <w:r w:rsidR="005122E4">
        <w:rPr>
          <w:bCs/>
        </w:rPr>
        <w:t>4</w:t>
      </w:r>
      <w:r w:rsidRPr="006D4D2A">
        <w:rPr>
          <w:bCs/>
        </w:rPr>
        <w:t>.1.</w:t>
      </w:r>
    </w:p>
    <w:p w14:paraId="6C20D63F" w14:textId="77777777" w:rsidR="005122E4" w:rsidRPr="006D4D2A" w:rsidRDefault="005122E4" w:rsidP="009E6088">
      <w:pPr>
        <w:pStyle w:val="NormalWeb"/>
        <w:shd w:val="clear" w:color="auto" w:fill="FFFFFF"/>
        <w:spacing w:before="0" w:beforeAutospacing="0" w:after="0" w:afterAutospacing="0"/>
        <w:ind w:firstLine="720"/>
        <w:jc w:val="both"/>
        <w:rPr>
          <w:bCs/>
        </w:rPr>
      </w:pPr>
    </w:p>
    <w:p w14:paraId="5CC860B1" w14:textId="77777777" w:rsidR="005122E4" w:rsidRDefault="00DD7712" w:rsidP="009E6088">
      <w:pPr>
        <w:pStyle w:val="NoSpacing"/>
        <w:rPr>
          <w:rFonts w:ascii="Times New Roman" w:eastAsia="Times New Roman" w:hAnsi="Times New Roman" w:cs="Times New Roman"/>
          <w:b/>
          <w:sz w:val="20"/>
          <w:szCs w:val="20"/>
        </w:rPr>
      </w:pPr>
      <w:r w:rsidRPr="005122E4">
        <w:rPr>
          <w:rFonts w:ascii="Times New Roman" w:eastAsia="Times New Roman" w:hAnsi="Times New Roman" w:cs="Times New Roman"/>
          <w:b/>
          <w:sz w:val="20"/>
          <w:szCs w:val="20"/>
        </w:rPr>
        <w:t xml:space="preserve">Table </w:t>
      </w:r>
      <w:r w:rsidR="005122E4" w:rsidRPr="005122E4">
        <w:rPr>
          <w:rFonts w:ascii="Times New Roman" w:eastAsia="Times New Roman" w:hAnsi="Times New Roman" w:cs="Times New Roman"/>
          <w:b/>
          <w:sz w:val="20"/>
          <w:szCs w:val="20"/>
        </w:rPr>
        <w:t>4</w:t>
      </w:r>
      <w:r w:rsidRPr="005122E4">
        <w:rPr>
          <w:rFonts w:ascii="Times New Roman" w:eastAsia="Times New Roman" w:hAnsi="Times New Roman" w:cs="Times New Roman"/>
          <w:b/>
          <w:sz w:val="20"/>
          <w:szCs w:val="20"/>
        </w:rPr>
        <w:t>.1</w:t>
      </w:r>
    </w:p>
    <w:p w14:paraId="3096496E" w14:textId="0E323B93" w:rsidR="00DD7712" w:rsidRPr="005122E4" w:rsidRDefault="00DD7712" w:rsidP="009E6088">
      <w:pPr>
        <w:pStyle w:val="NoSpacing"/>
        <w:rPr>
          <w:rFonts w:ascii="Times New Roman" w:hAnsi="Times New Roman" w:cs="Times New Roman"/>
          <w:b/>
          <w:i/>
          <w:iCs/>
          <w:sz w:val="24"/>
          <w:szCs w:val="24"/>
        </w:rPr>
      </w:pPr>
      <w:r w:rsidRPr="005122E4">
        <w:rPr>
          <w:rFonts w:ascii="Times New Roman" w:eastAsia="Times New Roman" w:hAnsi="Times New Roman" w:cs="Times New Roman"/>
          <w:b/>
          <w:i/>
          <w:iCs/>
          <w:sz w:val="20"/>
          <w:szCs w:val="20"/>
        </w:rPr>
        <w:t>Tests for Stationary</w:t>
      </w:r>
    </w:p>
    <w:tbl>
      <w:tblPr>
        <w:tblW w:w="5000" w:type="pct"/>
        <w:tblBorders>
          <w:top w:val="single" w:sz="4" w:space="0" w:color="auto"/>
          <w:bottom w:val="single" w:sz="4" w:space="0" w:color="auto"/>
        </w:tblBorders>
        <w:tblLook w:val="04A0" w:firstRow="1" w:lastRow="0" w:firstColumn="1" w:lastColumn="0" w:noHBand="0" w:noVBand="1"/>
      </w:tblPr>
      <w:tblGrid>
        <w:gridCol w:w="1575"/>
        <w:gridCol w:w="3126"/>
        <w:gridCol w:w="308"/>
        <w:gridCol w:w="1273"/>
      </w:tblGrid>
      <w:tr w:rsidR="00DD7712" w:rsidRPr="005122E4" w14:paraId="5BACD1D0" w14:textId="77777777" w:rsidTr="005122E4">
        <w:trPr>
          <w:trHeight w:val="243"/>
        </w:trPr>
        <w:tc>
          <w:tcPr>
            <w:tcW w:w="5000" w:type="pct"/>
            <w:gridSpan w:val="4"/>
            <w:tcBorders>
              <w:top w:val="single" w:sz="12" w:space="0" w:color="auto"/>
              <w:bottom w:val="single" w:sz="4" w:space="0" w:color="auto"/>
            </w:tcBorders>
            <w:shd w:val="clear" w:color="auto" w:fill="auto"/>
            <w:noWrap/>
            <w:vAlign w:val="bottom"/>
            <w:hideMark/>
          </w:tcPr>
          <w:p w14:paraId="108BBBB5" w14:textId="77777777" w:rsidR="00DD7712" w:rsidRPr="005122E4" w:rsidRDefault="00DD7712" w:rsidP="009E6088">
            <w:pPr>
              <w:spacing w:after="0" w:line="240" w:lineRule="auto"/>
              <w:jc w:val="center"/>
              <w:rPr>
                <w:rFonts w:eastAsia="Times New Roman" w:cs="Times New Roman"/>
                <w:color w:val="000000"/>
                <w:sz w:val="20"/>
                <w:szCs w:val="20"/>
              </w:rPr>
            </w:pPr>
            <w:r w:rsidRPr="005122E4">
              <w:rPr>
                <w:rFonts w:eastAsia="Times New Roman" w:cs="Times New Roman"/>
                <w:color w:val="000000"/>
                <w:sz w:val="20"/>
                <w:szCs w:val="20"/>
              </w:rPr>
              <w:t>Augmented Dickey Fuller test</w:t>
            </w:r>
          </w:p>
        </w:tc>
      </w:tr>
      <w:tr w:rsidR="005122E4" w:rsidRPr="005122E4" w14:paraId="20ED48EE" w14:textId="77777777" w:rsidTr="005122E4">
        <w:trPr>
          <w:trHeight w:val="243"/>
        </w:trPr>
        <w:tc>
          <w:tcPr>
            <w:tcW w:w="5000" w:type="pct"/>
            <w:gridSpan w:val="4"/>
            <w:tcBorders>
              <w:top w:val="single" w:sz="4" w:space="0" w:color="auto"/>
              <w:bottom w:val="single" w:sz="4" w:space="0" w:color="auto"/>
            </w:tcBorders>
            <w:shd w:val="clear" w:color="auto" w:fill="auto"/>
            <w:noWrap/>
            <w:vAlign w:val="center"/>
            <w:hideMark/>
          </w:tcPr>
          <w:p w14:paraId="0619A576" w14:textId="6C70BF04" w:rsidR="005122E4" w:rsidRPr="005122E4" w:rsidRDefault="005122E4" w:rsidP="009E6088">
            <w:pPr>
              <w:spacing w:after="0" w:line="240" w:lineRule="auto"/>
              <w:jc w:val="center"/>
              <w:rPr>
                <w:rFonts w:eastAsia="Times New Roman" w:cs="Times New Roman"/>
                <w:color w:val="000000"/>
                <w:sz w:val="20"/>
                <w:szCs w:val="20"/>
              </w:rPr>
            </w:pPr>
            <w:r w:rsidRPr="005122E4">
              <w:rPr>
                <w:rFonts w:eastAsia="Times New Roman" w:cs="Times New Roman"/>
                <w:color w:val="000000"/>
                <w:sz w:val="20"/>
                <w:szCs w:val="20"/>
              </w:rPr>
              <w:t>Levels</w:t>
            </w:r>
          </w:p>
        </w:tc>
      </w:tr>
      <w:tr w:rsidR="00DD7712" w:rsidRPr="005122E4" w14:paraId="5093496C" w14:textId="77777777" w:rsidTr="005122E4">
        <w:trPr>
          <w:trHeight w:val="243"/>
        </w:trPr>
        <w:tc>
          <w:tcPr>
            <w:tcW w:w="1254" w:type="pct"/>
            <w:tcBorders>
              <w:top w:val="single" w:sz="4" w:space="0" w:color="auto"/>
              <w:bottom w:val="single" w:sz="4" w:space="0" w:color="auto"/>
            </w:tcBorders>
            <w:shd w:val="clear" w:color="auto" w:fill="auto"/>
            <w:vAlign w:val="center"/>
            <w:hideMark/>
          </w:tcPr>
          <w:p w14:paraId="4A139A9E" w14:textId="77777777" w:rsidR="00DD7712" w:rsidRPr="005122E4" w:rsidRDefault="00DD7712" w:rsidP="009E6088">
            <w:pPr>
              <w:spacing w:after="0" w:line="240" w:lineRule="auto"/>
              <w:jc w:val="both"/>
              <w:rPr>
                <w:rFonts w:eastAsia="Times New Roman" w:cs="Times New Roman"/>
                <w:color w:val="000000"/>
                <w:sz w:val="20"/>
                <w:szCs w:val="20"/>
              </w:rPr>
            </w:pPr>
          </w:p>
        </w:tc>
        <w:tc>
          <w:tcPr>
            <w:tcW w:w="2487" w:type="pct"/>
            <w:tcBorders>
              <w:top w:val="single" w:sz="4" w:space="0" w:color="auto"/>
              <w:bottom w:val="single" w:sz="4" w:space="0" w:color="auto"/>
            </w:tcBorders>
            <w:shd w:val="clear" w:color="auto" w:fill="auto"/>
            <w:noWrap/>
            <w:vAlign w:val="bottom"/>
            <w:hideMark/>
          </w:tcPr>
          <w:p w14:paraId="6D1F762A"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PRE</w:t>
            </w:r>
          </w:p>
        </w:tc>
        <w:tc>
          <w:tcPr>
            <w:tcW w:w="245" w:type="pct"/>
            <w:tcBorders>
              <w:top w:val="single" w:sz="4" w:space="0" w:color="auto"/>
              <w:bottom w:val="single" w:sz="4" w:space="0" w:color="auto"/>
            </w:tcBorders>
            <w:shd w:val="clear" w:color="auto" w:fill="auto"/>
            <w:noWrap/>
            <w:vAlign w:val="bottom"/>
            <w:hideMark/>
          </w:tcPr>
          <w:p w14:paraId="6B051022"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tcBorders>
              <w:top w:val="single" w:sz="4" w:space="0" w:color="auto"/>
              <w:bottom w:val="single" w:sz="4" w:space="0" w:color="auto"/>
            </w:tcBorders>
            <w:shd w:val="clear" w:color="auto" w:fill="auto"/>
            <w:noWrap/>
            <w:vAlign w:val="bottom"/>
            <w:hideMark/>
          </w:tcPr>
          <w:p w14:paraId="3C48D154"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POST</w:t>
            </w:r>
          </w:p>
        </w:tc>
      </w:tr>
      <w:tr w:rsidR="009E6088" w:rsidRPr="005122E4" w14:paraId="02F0B124" w14:textId="77777777" w:rsidTr="005122E4">
        <w:trPr>
          <w:trHeight w:val="291"/>
        </w:trPr>
        <w:tc>
          <w:tcPr>
            <w:tcW w:w="1254" w:type="pct"/>
            <w:tcBorders>
              <w:top w:val="single" w:sz="4" w:space="0" w:color="auto"/>
              <w:bottom w:val="single" w:sz="4" w:space="0" w:color="auto"/>
            </w:tcBorders>
            <w:shd w:val="clear" w:color="auto" w:fill="auto"/>
            <w:vAlign w:val="center"/>
            <w:hideMark/>
          </w:tcPr>
          <w:p w14:paraId="3D74A022" w14:textId="77777777" w:rsidR="00DD7712" w:rsidRPr="005122E4" w:rsidRDefault="00DD7712" w:rsidP="009E6088">
            <w:pPr>
              <w:spacing w:after="0" w:line="240" w:lineRule="auto"/>
              <w:jc w:val="both"/>
              <w:rPr>
                <w:rFonts w:eastAsia="Times New Roman" w:cs="Times New Roman"/>
                <w:color w:val="000000"/>
                <w:sz w:val="20"/>
                <w:szCs w:val="20"/>
              </w:rPr>
            </w:pPr>
          </w:p>
        </w:tc>
        <w:tc>
          <w:tcPr>
            <w:tcW w:w="2487" w:type="pct"/>
            <w:tcBorders>
              <w:top w:val="single" w:sz="4" w:space="0" w:color="auto"/>
              <w:bottom w:val="single" w:sz="4" w:space="0" w:color="auto"/>
            </w:tcBorders>
            <w:shd w:val="clear" w:color="auto" w:fill="auto"/>
            <w:noWrap/>
            <w:vAlign w:val="bottom"/>
            <w:hideMark/>
          </w:tcPr>
          <w:p w14:paraId="3E300168"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t</w:t>
            </w:r>
            <w:r w:rsidRPr="005122E4">
              <w:rPr>
                <w:rFonts w:eastAsia="Times New Roman" w:cs="Times New Roman"/>
                <w:color w:val="000000"/>
                <w:sz w:val="20"/>
                <w:szCs w:val="20"/>
                <w:vertAlign w:val="subscript"/>
              </w:rPr>
              <w:t>a</w:t>
            </w:r>
          </w:p>
        </w:tc>
        <w:tc>
          <w:tcPr>
            <w:tcW w:w="245" w:type="pct"/>
            <w:tcBorders>
              <w:top w:val="single" w:sz="4" w:space="0" w:color="auto"/>
              <w:bottom w:val="single" w:sz="4" w:space="0" w:color="auto"/>
            </w:tcBorders>
            <w:shd w:val="clear" w:color="auto" w:fill="auto"/>
            <w:noWrap/>
            <w:vAlign w:val="bottom"/>
            <w:hideMark/>
          </w:tcPr>
          <w:p w14:paraId="52B2D071"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tcBorders>
              <w:top w:val="single" w:sz="4" w:space="0" w:color="auto"/>
              <w:bottom w:val="single" w:sz="4" w:space="0" w:color="auto"/>
            </w:tcBorders>
            <w:shd w:val="clear" w:color="auto" w:fill="auto"/>
            <w:noWrap/>
            <w:vAlign w:val="bottom"/>
            <w:hideMark/>
          </w:tcPr>
          <w:p w14:paraId="30F35AD7"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t</w:t>
            </w:r>
            <w:r w:rsidRPr="005122E4">
              <w:rPr>
                <w:rFonts w:eastAsia="Times New Roman" w:cs="Times New Roman"/>
                <w:color w:val="000000"/>
                <w:sz w:val="20"/>
                <w:szCs w:val="20"/>
                <w:vertAlign w:val="subscript"/>
              </w:rPr>
              <w:t>a</w:t>
            </w:r>
          </w:p>
        </w:tc>
      </w:tr>
      <w:tr w:rsidR="00DD7712" w:rsidRPr="005122E4" w14:paraId="48D076F6" w14:textId="77777777" w:rsidTr="005122E4">
        <w:trPr>
          <w:trHeight w:val="243"/>
        </w:trPr>
        <w:tc>
          <w:tcPr>
            <w:tcW w:w="1254" w:type="pct"/>
            <w:tcBorders>
              <w:top w:val="single" w:sz="4" w:space="0" w:color="auto"/>
            </w:tcBorders>
            <w:shd w:val="clear" w:color="auto" w:fill="auto"/>
            <w:noWrap/>
            <w:vAlign w:val="bottom"/>
            <w:hideMark/>
          </w:tcPr>
          <w:p w14:paraId="66C86D0B"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US</w:t>
            </w:r>
          </w:p>
        </w:tc>
        <w:tc>
          <w:tcPr>
            <w:tcW w:w="2487" w:type="pct"/>
            <w:tcBorders>
              <w:top w:val="single" w:sz="4" w:space="0" w:color="auto"/>
            </w:tcBorders>
            <w:shd w:val="clear" w:color="auto" w:fill="auto"/>
            <w:noWrap/>
            <w:vAlign w:val="bottom"/>
            <w:hideMark/>
          </w:tcPr>
          <w:p w14:paraId="320C3D54"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-1.1963</w:t>
            </w:r>
          </w:p>
        </w:tc>
        <w:tc>
          <w:tcPr>
            <w:tcW w:w="245" w:type="pct"/>
            <w:tcBorders>
              <w:top w:val="single" w:sz="4" w:space="0" w:color="auto"/>
            </w:tcBorders>
            <w:shd w:val="clear" w:color="auto" w:fill="auto"/>
            <w:noWrap/>
            <w:vAlign w:val="bottom"/>
            <w:hideMark/>
          </w:tcPr>
          <w:p w14:paraId="1A999370"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tcBorders>
              <w:top w:val="single" w:sz="4" w:space="0" w:color="auto"/>
            </w:tcBorders>
            <w:shd w:val="clear" w:color="auto" w:fill="auto"/>
            <w:noWrap/>
            <w:vAlign w:val="bottom"/>
            <w:hideMark/>
          </w:tcPr>
          <w:p w14:paraId="10B9F3F3"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-0.8873</w:t>
            </w:r>
          </w:p>
        </w:tc>
      </w:tr>
      <w:tr w:rsidR="00DD7712" w:rsidRPr="005122E4" w14:paraId="074405E7" w14:textId="77777777" w:rsidTr="005122E4">
        <w:trPr>
          <w:trHeight w:val="243"/>
        </w:trPr>
        <w:tc>
          <w:tcPr>
            <w:tcW w:w="1254" w:type="pct"/>
            <w:shd w:val="clear" w:color="auto" w:fill="auto"/>
            <w:noWrap/>
            <w:vAlign w:val="bottom"/>
            <w:hideMark/>
          </w:tcPr>
          <w:p w14:paraId="0070925D"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UK</w:t>
            </w:r>
          </w:p>
        </w:tc>
        <w:tc>
          <w:tcPr>
            <w:tcW w:w="2487" w:type="pct"/>
            <w:shd w:val="clear" w:color="auto" w:fill="auto"/>
            <w:noWrap/>
            <w:vAlign w:val="bottom"/>
            <w:hideMark/>
          </w:tcPr>
          <w:p w14:paraId="79ABA8D6"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-0.9411</w:t>
            </w:r>
          </w:p>
        </w:tc>
        <w:tc>
          <w:tcPr>
            <w:tcW w:w="245" w:type="pct"/>
            <w:shd w:val="clear" w:color="auto" w:fill="auto"/>
            <w:noWrap/>
            <w:vAlign w:val="bottom"/>
            <w:hideMark/>
          </w:tcPr>
          <w:p w14:paraId="49791CA5"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464CB18B"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-1.6860</w:t>
            </w:r>
          </w:p>
        </w:tc>
      </w:tr>
      <w:tr w:rsidR="00DD7712" w:rsidRPr="005122E4" w14:paraId="0EA5A56F" w14:textId="77777777" w:rsidTr="005122E4">
        <w:trPr>
          <w:trHeight w:val="243"/>
        </w:trPr>
        <w:tc>
          <w:tcPr>
            <w:tcW w:w="1254" w:type="pct"/>
            <w:shd w:val="clear" w:color="auto" w:fill="auto"/>
            <w:noWrap/>
            <w:vAlign w:val="bottom"/>
            <w:hideMark/>
          </w:tcPr>
          <w:p w14:paraId="57A331AE"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JN</w:t>
            </w:r>
          </w:p>
        </w:tc>
        <w:tc>
          <w:tcPr>
            <w:tcW w:w="2487" w:type="pct"/>
            <w:shd w:val="clear" w:color="auto" w:fill="auto"/>
            <w:noWrap/>
            <w:vAlign w:val="bottom"/>
            <w:hideMark/>
          </w:tcPr>
          <w:p w14:paraId="2AB5B3FB"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-1.0917</w:t>
            </w:r>
          </w:p>
        </w:tc>
        <w:tc>
          <w:tcPr>
            <w:tcW w:w="245" w:type="pct"/>
            <w:shd w:val="clear" w:color="auto" w:fill="auto"/>
            <w:noWrap/>
            <w:vAlign w:val="bottom"/>
            <w:hideMark/>
          </w:tcPr>
          <w:p w14:paraId="17C680DF"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354AB8F0"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-0.9450</w:t>
            </w:r>
          </w:p>
        </w:tc>
      </w:tr>
      <w:tr w:rsidR="00DD7712" w:rsidRPr="005122E4" w14:paraId="2B7008FA" w14:textId="77777777" w:rsidTr="005122E4">
        <w:trPr>
          <w:trHeight w:val="243"/>
        </w:trPr>
        <w:tc>
          <w:tcPr>
            <w:tcW w:w="1254" w:type="pct"/>
            <w:shd w:val="clear" w:color="auto" w:fill="auto"/>
            <w:noWrap/>
            <w:vAlign w:val="bottom"/>
            <w:hideMark/>
          </w:tcPr>
          <w:p w14:paraId="03C8496D"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GER</w:t>
            </w:r>
          </w:p>
        </w:tc>
        <w:tc>
          <w:tcPr>
            <w:tcW w:w="2487" w:type="pct"/>
            <w:shd w:val="clear" w:color="auto" w:fill="auto"/>
            <w:noWrap/>
            <w:vAlign w:val="bottom"/>
            <w:hideMark/>
          </w:tcPr>
          <w:p w14:paraId="35B5939E"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-0.8984</w:t>
            </w:r>
          </w:p>
        </w:tc>
        <w:tc>
          <w:tcPr>
            <w:tcW w:w="245" w:type="pct"/>
            <w:shd w:val="clear" w:color="auto" w:fill="auto"/>
            <w:noWrap/>
            <w:vAlign w:val="bottom"/>
            <w:hideMark/>
          </w:tcPr>
          <w:p w14:paraId="11ECF702"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4ACCBCB3"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-0.9201</w:t>
            </w:r>
          </w:p>
        </w:tc>
      </w:tr>
      <w:tr w:rsidR="00DD7712" w:rsidRPr="005122E4" w14:paraId="218E9391" w14:textId="77777777" w:rsidTr="005122E4">
        <w:trPr>
          <w:trHeight w:val="243"/>
        </w:trPr>
        <w:tc>
          <w:tcPr>
            <w:tcW w:w="1254" w:type="pct"/>
            <w:shd w:val="clear" w:color="auto" w:fill="auto"/>
            <w:noWrap/>
            <w:vAlign w:val="bottom"/>
            <w:hideMark/>
          </w:tcPr>
          <w:p w14:paraId="04153285"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PK</w:t>
            </w:r>
          </w:p>
        </w:tc>
        <w:tc>
          <w:tcPr>
            <w:tcW w:w="2487" w:type="pct"/>
            <w:shd w:val="clear" w:color="auto" w:fill="auto"/>
            <w:noWrap/>
            <w:vAlign w:val="bottom"/>
            <w:hideMark/>
          </w:tcPr>
          <w:p w14:paraId="3C3FC7AC"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-0.6099</w:t>
            </w:r>
          </w:p>
        </w:tc>
        <w:tc>
          <w:tcPr>
            <w:tcW w:w="245" w:type="pct"/>
            <w:shd w:val="clear" w:color="auto" w:fill="auto"/>
            <w:noWrap/>
            <w:vAlign w:val="bottom"/>
            <w:hideMark/>
          </w:tcPr>
          <w:p w14:paraId="75DBE387"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0FB4AE47"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-0.2023</w:t>
            </w:r>
          </w:p>
        </w:tc>
      </w:tr>
      <w:tr w:rsidR="00DD7712" w:rsidRPr="005122E4" w14:paraId="57CDC7EA" w14:textId="77777777" w:rsidTr="005122E4">
        <w:trPr>
          <w:trHeight w:val="243"/>
        </w:trPr>
        <w:tc>
          <w:tcPr>
            <w:tcW w:w="1254" w:type="pct"/>
            <w:shd w:val="clear" w:color="auto" w:fill="auto"/>
            <w:noWrap/>
            <w:vAlign w:val="bottom"/>
            <w:hideMark/>
          </w:tcPr>
          <w:p w14:paraId="75BFD6DF"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IND</w:t>
            </w:r>
          </w:p>
        </w:tc>
        <w:tc>
          <w:tcPr>
            <w:tcW w:w="2487" w:type="pct"/>
            <w:shd w:val="clear" w:color="auto" w:fill="auto"/>
            <w:noWrap/>
            <w:vAlign w:val="bottom"/>
            <w:hideMark/>
          </w:tcPr>
          <w:p w14:paraId="5BA327DD"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0.5269</w:t>
            </w:r>
          </w:p>
        </w:tc>
        <w:tc>
          <w:tcPr>
            <w:tcW w:w="245" w:type="pct"/>
            <w:shd w:val="clear" w:color="auto" w:fill="auto"/>
            <w:noWrap/>
            <w:vAlign w:val="bottom"/>
            <w:hideMark/>
          </w:tcPr>
          <w:p w14:paraId="1D3D370F"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5075F1E5"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-1.1298</w:t>
            </w:r>
          </w:p>
        </w:tc>
      </w:tr>
      <w:tr w:rsidR="00DD7712" w:rsidRPr="005122E4" w14:paraId="4C149C93" w14:textId="77777777" w:rsidTr="005122E4">
        <w:trPr>
          <w:trHeight w:val="243"/>
        </w:trPr>
        <w:tc>
          <w:tcPr>
            <w:tcW w:w="1254" w:type="pct"/>
            <w:shd w:val="clear" w:color="auto" w:fill="auto"/>
            <w:noWrap/>
            <w:vAlign w:val="bottom"/>
            <w:hideMark/>
          </w:tcPr>
          <w:p w14:paraId="0C7B412A"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CN</w:t>
            </w:r>
          </w:p>
        </w:tc>
        <w:tc>
          <w:tcPr>
            <w:tcW w:w="2487" w:type="pct"/>
            <w:shd w:val="clear" w:color="auto" w:fill="auto"/>
            <w:noWrap/>
            <w:vAlign w:val="bottom"/>
            <w:hideMark/>
          </w:tcPr>
          <w:p w14:paraId="6F7FA3F9"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0.7040</w:t>
            </w:r>
          </w:p>
        </w:tc>
        <w:tc>
          <w:tcPr>
            <w:tcW w:w="245" w:type="pct"/>
            <w:shd w:val="clear" w:color="auto" w:fill="auto"/>
            <w:noWrap/>
            <w:vAlign w:val="bottom"/>
            <w:hideMark/>
          </w:tcPr>
          <w:p w14:paraId="0EC27EBF"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56851F75"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-2.5355</w:t>
            </w:r>
          </w:p>
        </w:tc>
      </w:tr>
      <w:tr w:rsidR="00DD7712" w:rsidRPr="005122E4" w14:paraId="59688E98" w14:textId="77777777" w:rsidTr="005122E4">
        <w:trPr>
          <w:trHeight w:val="243"/>
        </w:trPr>
        <w:tc>
          <w:tcPr>
            <w:tcW w:w="1254" w:type="pct"/>
            <w:vMerge w:val="restart"/>
            <w:shd w:val="clear" w:color="auto" w:fill="auto"/>
            <w:noWrap/>
            <w:vAlign w:val="bottom"/>
            <w:hideMark/>
          </w:tcPr>
          <w:p w14:paraId="4DC7A1C5"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3746" w:type="pct"/>
            <w:gridSpan w:val="3"/>
            <w:shd w:val="clear" w:color="auto" w:fill="auto"/>
            <w:noWrap/>
            <w:vAlign w:val="bottom"/>
            <w:hideMark/>
          </w:tcPr>
          <w:p w14:paraId="7E95F1C2"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First-difference</w:t>
            </w:r>
          </w:p>
        </w:tc>
      </w:tr>
      <w:tr w:rsidR="00DD7712" w:rsidRPr="005122E4" w14:paraId="3A4CD1CB" w14:textId="77777777" w:rsidTr="005122E4">
        <w:trPr>
          <w:trHeight w:val="125"/>
        </w:trPr>
        <w:tc>
          <w:tcPr>
            <w:tcW w:w="1254" w:type="pct"/>
            <w:vMerge/>
            <w:vAlign w:val="center"/>
            <w:hideMark/>
          </w:tcPr>
          <w:p w14:paraId="1B334572" w14:textId="77777777" w:rsidR="00DD7712" w:rsidRPr="005122E4" w:rsidRDefault="00DD7712" w:rsidP="009E6088">
            <w:pPr>
              <w:spacing w:after="0" w:line="240" w:lineRule="auto"/>
              <w:jc w:val="both"/>
              <w:rPr>
                <w:rFonts w:eastAsia="Times New Roman" w:cs="Times New Roman"/>
                <w:color w:val="000000"/>
                <w:sz w:val="20"/>
                <w:szCs w:val="20"/>
              </w:rPr>
            </w:pPr>
          </w:p>
        </w:tc>
        <w:tc>
          <w:tcPr>
            <w:tcW w:w="2487" w:type="pct"/>
            <w:shd w:val="clear" w:color="auto" w:fill="auto"/>
            <w:noWrap/>
            <w:vAlign w:val="bottom"/>
            <w:hideMark/>
          </w:tcPr>
          <w:p w14:paraId="18FBF34B"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t</w:t>
            </w:r>
            <w:r w:rsidRPr="005122E4">
              <w:rPr>
                <w:rFonts w:eastAsia="Times New Roman" w:cs="Times New Roman"/>
                <w:color w:val="000000"/>
                <w:sz w:val="20"/>
                <w:szCs w:val="20"/>
                <w:vertAlign w:val="subscript"/>
              </w:rPr>
              <w:t>a</w:t>
            </w:r>
          </w:p>
        </w:tc>
        <w:tc>
          <w:tcPr>
            <w:tcW w:w="245" w:type="pct"/>
            <w:shd w:val="clear" w:color="auto" w:fill="auto"/>
            <w:noWrap/>
            <w:vAlign w:val="bottom"/>
            <w:hideMark/>
          </w:tcPr>
          <w:p w14:paraId="14B145A9"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6FCA2DD2"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t</w:t>
            </w:r>
            <w:r w:rsidRPr="005122E4">
              <w:rPr>
                <w:rFonts w:eastAsia="Times New Roman" w:cs="Times New Roman"/>
                <w:color w:val="000000"/>
                <w:sz w:val="20"/>
                <w:szCs w:val="20"/>
                <w:vertAlign w:val="subscript"/>
              </w:rPr>
              <w:t>a</w:t>
            </w:r>
          </w:p>
        </w:tc>
      </w:tr>
      <w:tr w:rsidR="00DD7712" w:rsidRPr="005122E4" w14:paraId="4A3051A6" w14:textId="77777777" w:rsidTr="005122E4">
        <w:trPr>
          <w:trHeight w:val="243"/>
        </w:trPr>
        <w:tc>
          <w:tcPr>
            <w:tcW w:w="1254" w:type="pct"/>
            <w:shd w:val="clear" w:color="auto" w:fill="auto"/>
            <w:noWrap/>
            <w:vAlign w:val="bottom"/>
            <w:hideMark/>
          </w:tcPr>
          <w:p w14:paraId="30192001"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US</w:t>
            </w:r>
          </w:p>
        </w:tc>
        <w:tc>
          <w:tcPr>
            <w:tcW w:w="2487" w:type="pct"/>
            <w:shd w:val="clear" w:color="auto" w:fill="auto"/>
            <w:noWrap/>
            <w:vAlign w:val="bottom"/>
            <w:hideMark/>
          </w:tcPr>
          <w:p w14:paraId="4EED963C"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-19.9264</w:t>
            </w:r>
          </w:p>
        </w:tc>
        <w:tc>
          <w:tcPr>
            <w:tcW w:w="245" w:type="pct"/>
            <w:shd w:val="clear" w:color="auto" w:fill="auto"/>
            <w:noWrap/>
            <w:vAlign w:val="bottom"/>
            <w:hideMark/>
          </w:tcPr>
          <w:p w14:paraId="0BA96DC4"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7DE4B63E"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-4.4180</w:t>
            </w:r>
          </w:p>
        </w:tc>
      </w:tr>
      <w:tr w:rsidR="00DD7712" w:rsidRPr="005122E4" w14:paraId="6D1CB941" w14:textId="77777777" w:rsidTr="005122E4">
        <w:trPr>
          <w:trHeight w:val="243"/>
        </w:trPr>
        <w:tc>
          <w:tcPr>
            <w:tcW w:w="1254" w:type="pct"/>
            <w:shd w:val="clear" w:color="auto" w:fill="auto"/>
            <w:noWrap/>
            <w:vAlign w:val="bottom"/>
            <w:hideMark/>
          </w:tcPr>
          <w:p w14:paraId="3AB92126"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UK</w:t>
            </w:r>
          </w:p>
        </w:tc>
        <w:tc>
          <w:tcPr>
            <w:tcW w:w="2487" w:type="pct"/>
            <w:shd w:val="clear" w:color="auto" w:fill="auto"/>
            <w:noWrap/>
            <w:vAlign w:val="bottom"/>
            <w:hideMark/>
          </w:tcPr>
          <w:p w14:paraId="6B399275"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-31.7306</w:t>
            </w:r>
          </w:p>
        </w:tc>
        <w:tc>
          <w:tcPr>
            <w:tcW w:w="245" w:type="pct"/>
            <w:shd w:val="clear" w:color="auto" w:fill="auto"/>
            <w:noWrap/>
            <w:vAlign w:val="bottom"/>
            <w:hideMark/>
          </w:tcPr>
          <w:p w14:paraId="1AB482AD"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1A05D72E"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-4.4310</w:t>
            </w:r>
          </w:p>
        </w:tc>
      </w:tr>
      <w:tr w:rsidR="00DD7712" w:rsidRPr="005122E4" w14:paraId="5E3F0C5D" w14:textId="77777777" w:rsidTr="005122E4">
        <w:trPr>
          <w:trHeight w:val="243"/>
        </w:trPr>
        <w:tc>
          <w:tcPr>
            <w:tcW w:w="1254" w:type="pct"/>
            <w:shd w:val="clear" w:color="auto" w:fill="auto"/>
            <w:noWrap/>
            <w:vAlign w:val="bottom"/>
            <w:hideMark/>
          </w:tcPr>
          <w:p w14:paraId="01FBDFA3"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JN</w:t>
            </w:r>
          </w:p>
        </w:tc>
        <w:tc>
          <w:tcPr>
            <w:tcW w:w="2487" w:type="pct"/>
            <w:shd w:val="clear" w:color="auto" w:fill="auto"/>
            <w:noWrap/>
            <w:vAlign w:val="bottom"/>
            <w:hideMark/>
          </w:tcPr>
          <w:p w14:paraId="36BF2EC8"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-18.8563</w:t>
            </w:r>
          </w:p>
        </w:tc>
        <w:tc>
          <w:tcPr>
            <w:tcW w:w="245" w:type="pct"/>
            <w:shd w:val="clear" w:color="auto" w:fill="auto"/>
            <w:noWrap/>
            <w:vAlign w:val="bottom"/>
            <w:hideMark/>
          </w:tcPr>
          <w:p w14:paraId="5F727BD5"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46058EAB"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-11.8157</w:t>
            </w:r>
          </w:p>
        </w:tc>
      </w:tr>
      <w:tr w:rsidR="00DD7712" w:rsidRPr="005122E4" w14:paraId="297DD83E" w14:textId="77777777" w:rsidTr="005122E4">
        <w:trPr>
          <w:trHeight w:val="243"/>
        </w:trPr>
        <w:tc>
          <w:tcPr>
            <w:tcW w:w="1254" w:type="pct"/>
            <w:shd w:val="clear" w:color="auto" w:fill="auto"/>
            <w:noWrap/>
            <w:vAlign w:val="bottom"/>
            <w:hideMark/>
          </w:tcPr>
          <w:p w14:paraId="33CA283F"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GER</w:t>
            </w:r>
          </w:p>
        </w:tc>
        <w:tc>
          <w:tcPr>
            <w:tcW w:w="2487" w:type="pct"/>
            <w:shd w:val="clear" w:color="auto" w:fill="auto"/>
            <w:noWrap/>
            <w:vAlign w:val="bottom"/>
            <w:hideMark/>
          </w:tcPr>
          <w:p w14:paraId="6D76D845"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-18.4775</w:t>
            </w:r>
          </w:p>
        </w:tc>
        <w:tc>
          <w:tcPr>
            <w:tcW w:w="245" w:type="pct"/>
            <w:shd w:val="clear" w:color="auto" w:fill="auto"/>
            <w:noWrap/>
            <w:vAlign w:val="bottom"/>
            <w:hideMark/>
          </w:tcPr>
          <w:p w14:paraId="0353B1AD"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3CD3EED3"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-7.4513</w:t>
            </w:r>
          </w:p>
        </w:tc>
      </w:tr>
      <w:tr w:rsidR="00DD7712" w:rsidRPr="005122E4" w14:paraId="4DF8EECC" w14:textId="77777777" w:rsidTr="005122E4">
        <w:trPr>
          <w:trHeight w:val="243"/>
        </w:trPr>
        <w:tc>
          <w:tcPr>
            <w:tcW w:w="1254" w:type="pct"/>
            <w:shd w:val="clear" w:color="auto" w:fill="auto"/>
            <w:noWrap/>
            <w:vAlign w:val="bottom"/>
            <w:hideMark/>
          </w:tcPr>
          <w:p w14:paraId="5BDD86DB"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PK</w:t>
            </w:r>
          </w:p>
        </w:tc>
        <w:tc>
          <w:tcPr>
            <w:tcW w:w="2487" w:type="pct"/>
            <w:shd w:val="clear" w:color="auto" w:fill="auto"/>
            <w:noWrap/>
            <w:vAlign w:val="bottom"/>
            <w:hideMark/>
          </w:tcPr>
          <w:p w14:paraId="5C8B7292"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-16.4124</w:t>
            </w:r>
          </w:p>
        </w:tc>
        <w:tc>
          <w:tcPr>
            <w:tcW w:w="245" w:type="pct"/>
            <w:shd w:val="clear" w:color="auto" w:fill="auto"/>
            <w:noWrap/>
            <w:vAlign w:val="bottom"/>
            <w:hideMark/>
          </w:tcPr>
          <w:p w14:paraId="6CB74445"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4DC30739"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-7.9958</w:t>
            </w:r>
          </w:p>
        </w:tc>
      </w:tr>
      <w:tr w:rsidR="00DD7712" w:rsidRPr="005122E4" w14:paraId="65EBAC4A" w14:textId="77777777" w:rsidTr="005122E4">
        <w:trPr>
          <w:trHeight w:val="243"/>
        </w:trPr>
        <w:tc>
          <w:tcPr>
            <w:tcW w:w="1254" w:type="pct"/>
            <w:shd w:val="clear" w:color="auto" w:fill="auto"/>
            <w:noWrap/>
            <w:vAlign w:val="bottom"/>
            <w:hideMark/>
          </w:tcPr>
          <w:p w14:paraId="61EDE0D3"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IND</w:t>
            </w:r>
          </w:p>
        </w:tc>
        <w:tc>
          <w:tcPr>
            <w:tcW w:w="2487" w:type="pct"/>
            <w:shd w:val="clear" w:color="auto" w:fill="auto"/>
            <w:noWrap/>
            <w:vAlign w:val="bottom"/>
            <w:hideMark/>
          </w:tcPr>
          <w:p w14:paraId="7DD6DAE3"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-22.8179</w:t>
            </w:r>
          </w:p>
        </w:tc>
        <w:tc>
          <w:tcPr>
            <w:tcW w:w="245" w:type="pct"/>
            <w:shd w:val="clear" w:color="auto" w:fill="auto"/>
            <w:noWrap/>
            <w:vAlign w:val="bottom"/>
            <w:hideMark/>
          </w:tcPr>
          <w:p w14:paraId="3698274F"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0628CA75"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-8.0111</w:t>
            </w:r>
          </w:p>
        </w:tc>
      </w:tr>
      <w:tr w:rsidR="00DD7712" w:rsidRPr="005122E4" w14:paraId="60677581" w14:textId="77777777" w:rsidTr="005122E4">
        <w:trPr>
          <w:trHeight w:val="243"/>
        </w:trPr>
        <w:tc>
          <w:tcPr>
            <w:tcW w:w="1254" w:type="pct"/>
            <w:shd w:val="clear" w:color="auto" w:fill="auto"/>
            <w:noWrap/>
            <w:vAlign w:val="bottom"/>
            <w:hideMark/>
          </w:tcPr>
          <w:p w14:paraId="1D3D7F28"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CN</w:t>
            </w:r>
          </w:p>
        </w:tc>
        <w:tc>
          <w:tcPr>
            <w:tcW w:w="2487" w:type="pct"/>
            <w:shd w:val="clear" w:color="auto" w:fill="auto"/>
            <w:noWrap/>
            <w:vAlign w:val="bottom"/>
            <w:hideMark/>
          </w:tcPr>
          <w:p w14:paraId="5B43E710"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-16.9134</w:t>
            </w:r>
          </w:p>
        </w:tc>
        <w:tc>
          <w:tcPr>
            <w:tcW w:w="245" w:type="pct"/>
            <w:shd w:val="clear" w:color="auto" w:fill="auto"/>
            <w:noWrap/>
            <w:vAlign w:val="bottom"/>
            <w:hideMark/>
          </w:tcPr>
          <w:p w14:paraId="5704403B"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5920F518"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-18.8639</w:t>
            </w:r>
          </w:p>
        </w:tc>
      </w:tr>
      <w:tr w:rsidR="00DD7712" w:rsidRPr="005122E4" w14:paraId="1D369C50" w14:textId="77777777" w:rsidTr="005122E4">
        <w:trPr>
          <w:trHeight w:val="243"/>
        </w:trPr>
        <w:tc>
          <w:tcPr>
            <w:tcW w:w="5000" w:type="pct"/>
            <w:gridSpan w:val="4"/>
            <w:shd w:val="clear" w:color="auto" w:fill="auto"/>
            <w:noWrap/>
            <w:vAlign w:val="bottom"/>
            <w:hideMark/>
          </w:tcPr>
          <w:p w14:paraId="7C13C341"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Critical values for significance level</w:t>
            </w:r>
          </w:p>
        </w:tc>
      </w:tr>
      <w:tr w:rsidR="00DD7712" w:rsidRPr="005122E4" w14:paraId="2484556E" w14:textId="77777777" w:rsidTr="005122E4">
        <w:trPr>
          <w:trHeight w:val="243"/>
        </w:trPr>
        <w:tc>
          <w:tcPr>
            <w:tcW w:w="3742" w:type="pct"/>
            <w:gridSpan w:val="2"/>
            <w:shd w:val="clear" w:color="auto" w:fill="auto"/>
            <w:noWrap/>
            <w:vAlign w:val="bottom"/>
            <w:hideMark/>
          </w:tcPr>
          <w:p w14:paraId="53175ABD"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 level</w:t>
            </w:r>
          </w:p>
        </w:tc>
        <w:tc>
          <w:tcPr>
            <w:tcW w:w="245" w:type="pct"/>
            <w:shd w:val="clear" w:color="auto" w:fill="auto"/>
            <w:noWrap/>
            <w:vAlign w:val="bottom"/>
            <w:hideMark/>
          </w:tcPr>
          <w:p w14:paraId="4200EEE9"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38DA29DA"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-3.448161</w:t>
            </w:r>
          </w:p>
        </w:tc>
      </w:tr>
      <w:tr w:rsidR="00DD7712" w:rsidRPr="005122E4" w14:paraId="35F12493" w14:textId="77777777" w:rsidTr="005122E4">
        <w:trPr>
          <w:trHeight w:val="243"/>
        </w:trPr>
        <w:tc>
          <w:tcPr>
            <w:tcW w:w="3742" w:type="pct"/>
            <w:gridSpan w:val="2"/>
            <w:shd w:val="clear" w:color="auto" w:fill="auto"/>
            <w:noWrap/>
            <w:vAlign w:val="bottom"/>
            <w:hideMark/>
          </w:tcPr>
          <w:p w14:paraId="03CE3083"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5% level</w:t>
            </w:r>
          </w:p>
        </w:tc>
        <w:tc>
          <w:tcPr>
            <w:tcW w:w="245" w:type="pct"/>
            <w:shd w:val="clear" w:color="auto" w:fill="auto"/>
            <w:noWrap/>
            <w:vAlign w:val="bottom"/>
            <w:hideMark/>
          </w:tcPr>
          <w:p w14:paraId="1827B303"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shd w:val="clear" w:color="auto" w:fill="auto"/>
            <w:noWrap/>
            <w:vAlign w:val="bottom"/>
            <w:hideMark/>
          </w:tcPr>
          <w:p w14:paraId="460B2E04"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-2.869285</w:t>
            </w:r>
          </w:p>
        </w:tc>
      </w:tr>
      <w:tr w:rsidR="00DD7712" w:rsidRPr="005122E4" w14:paraId="6724F16C" w14:textId="77777777" w:rsidTr="005122E4">
        <w:trPr>
          <w:trHeight w:val="243"/>
        </w:trPr>
        <w:tc>
          <w:tcPr>
            <w:tcW w:w="3742" w:type="pct"/>
            <w:gridSpan w:val="2"/>
            <w:tcBorders>
              <w:bottom w:val="single" w:sz="12" w:space="0" w:color="auto"/>
            </w:tcBorders>
            <w:shd w:val="clear" w:color="auto" w:fill="auto"/>
            <w:noWrap/>
            <w:vAlign w:val="bottom"/>
            <w:hideMark/>
          </w:tcPr>
          <w:p w14:paraId="7F14DC10"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10% level</w:t>
            </w:r>
          </w:p>
        </w:tc>
        <w:tc>
          <w:tcPr>
            <w:tcW w:w="245" w:type="pct"/>
            <w:tcBorders>
              <w:bottom w:val="single" w:sz="12" w:space="0" w:color="auto"/>
            </w:tcBorders>
            <w:shd w:val="clear" w:color="auto" w:fill="auto"/>
            <w:noWrap/>
            <w:vAlign w:val="bottom"/>
            <w:hideMark/>
          </w:tcPr>
          <w:p w14:paraId="5E4B48A6"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 </w:t>
            </w:r>
          </w:p>
        </w:tc>
        <w:tc>
          <w:tcPr>
            <w:tcW w:w="1013" w:type="pct"/>
            <w:tcBorders>
              <w:bottom w:val="single" w:sz="12" w:space="0" w:color="auto"/>
            </w:tcBorders>
            <w:shd w:val="clear" w:color="auto" w:fill="auto"/>
            <w:noWrap/>
            <w:vAlign w:val="bottom"/>
            <w:hideMark/>
          </w:tcPr>
          <w:p w14:paraId="092EE572" w14:textId="77777777" w:rsidR="00DD7712" w:rsidRPr="005122E4" w:rsidRDefault="00DD7712" w:rsidP="009E6088">
            <w:pPr>
              <w:spacing w:after="0" w:line="240" w:lineRule="auto"/>
              <w:jc w:val="both"/>
              <w:rPr>
                <w:rFonts w:eastAsia="Times New Roman" w:cs="Times New Roman"/>
                <w:color w:val="000000"/>
                <w:sz w:val="20"/>
                <w:szCs w:val="20"/>
              </w:rPr>
            </w:pPr>
            <w:r w:rsidRPr="005122E4">
              <w:rPr>
                <w:rFonts w:eastAsia="Times New Roman" w:cs="Times New Roman"/>
                <w:color w:val="000000"/>
                <w:sz w:val="20"/>
                <w:szCs w:val="20"/>
              </w:rPr>
              <w:t>-2.570963</w:t>
            </w:r>
          </w:p>
        </w:tc>
      </w:tr>
    </w:tbl>
    <w:p w14:paraId="0F4EA01E" w14:textId="4B20E711" w:rsidR="00DD7712" w:rsidRDefault="00DD7712" w:rsidP="009E6088">
      <w:pPr>
        <w:pStyle w:val="NoSpacing"/>
        <w:rPr>
          <w:rFonts w:ascii="Times New Roman" w:hAnsi="Times New Roman" w:cs="Times New Roman"/>
          <w:sz w:val="20"/>
          <w:szCs w:val="20"/>
        </w:rPr>
      </w:pPr>
      <w:r w:rsidRPr="00BA7CC9">
        <w:rPr>
          <w:rFonts w:ascii="Times New Roman" w:hAnsi="Times New Roman" w:cs="Times New Roman"/>
          <w:i/>
          <w:iCs/>
          <w:sz w:val="20"/>
          <w:szCs w:val="20"/>
        </w:rPr>
        <w:t>Source:</w:t>
      </w:r>
      <w:r w:rsidRPr="00BA7CC9">
        <w:rPr>
          <w:rFonts w:ascii="Times New Roman" w:hAnsi="Times New Roman" w:cs="Times New Roman"/>
          <w:sz w:val="20"/>
          <w:szCs w:val="20"/>
        </w:rPr>
        <w:t xml:space="preserve"> Authors' estimation. Significant at 5% significance level</w:t>
      </w:r>
    </w:p>
    <w:p w14:paraId="484D47CC" w14:textId="77777777" w:rsidR="00BA7CC9" w:rsidRPr="00BA7CC9" w:rsidRDefault="00BA7CC9" w:rsidP="009E6088">
      <w:pPr>
        <w:pStyle w:val="NoSpacing"/>
        <w:rPr>
          <w:rFonts w:ascii="Times New Roman" w:hAnsi="Times New Roman" w:cs="Times New Roman"/>
          <w:sz w:val="20"/>
          <w:szCs w:val="20"/>
        </w:rPr>
      </w:pPr>
    </w:p>
    <w:p w14:paraId="5661573E" w14:textId="6004C037" w:rsidR="00DD7712" w:rsidRPr="00BA7CC9" w:rsidRDefault="00DD7712" w:rsidP="00AB13D4">
      <w:pPr>
        <w:pStyle w:val="Heading2"/>
      </w:pPr>
      <w:r w:rsidRPr="00A86B8B">
        <w:t xml:space="preserve">Cointegration Test in a </w:t>
      </w:r>
      <w:r w:rsidR="00BA7CC9">
        <w:t>M</w:t>
      </w:r>
      <w:r w:rsidRPr="00A86B8B">
        <w:t xml:space="preserve">ultivariate </w:t>
      </w:r>
      <w:r w:rsidR="00BA7CC9">
        <w:t>S</w:t>
      </w:r>
      <w:r w:rsidRPr="00A86B8B">
        <w:t>etting</w:t>
      </w:r>
    </w:p>
    <w:p w14:paraId="6F5CD623" w14:textId="564C8B44" w:rsidR="00DD7712" w:rsidRPr="00866770" w:rsidRDefault="00DD7712" w:rsidP="009E6088">
      <w:pPr>
        <w:pStyle w:val="NormalWeb"/>
        <w:shd w:val="clear" w:color="auto" w:fill="FFFFFF"/>
        <w:spacing w:before="0" w:beforeAutospacing="0" w:after="0" w:afterAutospacing="0"/>
        <w:ind w:firstLine="720"/>
        <w:jc w:val="both"/>
        <w:rPr>
          <w:bCs/>
        </w:rPr>
      </w:pPr>
      <w:r w:rsidRPr="00866770">
        <w:rPr>
          <w:bCs/>
        </w:rPr>
        <w:t xml:space="preserve">Having confirmed that each stock price index is I (1), The Johansen and </w:t>
      </w:r>
      <w:proofErr w:type="spellStart"/>
      <w:r w:rsidRPr="00866770">
        <w:rPr>
          <w:bCs/>
        </w:rPr>
        <w:t>Juselius</w:t>
      </w:r>
      <w:proofErr w:type="spellEnd"/>
      <w:r w:rsidRPr="00866770">
        <w:rPr>
          <w:bCs/>
        </w:rPr>
        <w:t xml:space="preserve"> approach will be applied as it allows to test for cointegration relationship in a multivariate environment as opposed to two-step cointegration test proposed by Engle-Granger method.</w:t>
      </w:r>
    </w:p>
    <w:p w14:paraId="578FFD24" w14:textId="049EBB7F" w:rsidR="00DD7712" w:rsidRDefault="00DD7712" w:rsidP="009E6088">
      <w:pPr>
        <w:pStyle w:val="NormalWeb"/>
        <w:shd w:val="clear" w:color="auto" w:fill="FFFFFF"/>
        <w:spacing w:before="0" w:beforeAutospacing="0" w:after="0" w:afterAutospacing="0"/>
        <w:ind w:firstLine="720"/>
        <w:jc w:val="both"/>
        <w:rPr>
          <w:bCs/>
        </w:rPr>
      </w:pPr>
      <w:r w:rsidRPr="00866770">
        <w:rPr>
          <w:bCs/>
        </w:rPr>
        <w:lastRenderedPageBreak/>
        <w:t xml:space="preserve">Results of Johansen test by applying it to each of the four model for the two data sets are shown in table </w:t>
      </w:r>
      <w:r w:rsidR="00866770">
        <w:rPr>
          <w:bCs/>
        </w:rPr>
        <w:t>4</w:t>
      </w:r>
      <w:r w:rsidRPr="00866770">
        <w:rPr>
          <w:bCs/>
        </w:rPr>
        <w:t>.2.</w:t>
      </w:r>
    </w:p>
    <w:p w14:paraId="588B9E06" w14:textId="77777777" w:rsidR="00866770" w:rsidRPr="00866770" w:rsidRDefault="00866770" w:rsidP="009E6088">
      <w:pPr>
        <w:pStyle w:val="NormalWeb"/>
        <w:shd w:val="clear" w:color="auto" w:fill="FFFFFF"/>
        <w:spacing w:before="0" w:beforeAutospacing="0" w:after="0" w:afterAutospacing="0"/>
        <w:ind w:firstLine="720"/>
        <w:jc w:val="both"/>
        <w:rPr>
          <w:bCs/>
        </w:rPr>
      </w:pPr>
    </w:p>
    <w:p w14:paraId="49EF34CE" w14:textId="30C47622" w:rsidR="00DD7712" w:rsidRDefault="00DD7712" w:rsidP="009E6088">
      <w:pPr>
        <w:pStyle w:val="NormalWeb"/>
        <w:shd w:val="clear" w:color="auto" w:fill="FFFFFF"/>
        <w:spacing w:before="0" w:beforeAutospacing="0" w:after="0" w:afterAutospacing="0"/>
        <w:ind w:firstLine="720"/>
        <w:jc w:val="both"/>
        <w:rPr>
          <w:bCs/>
        </w:rPr>
      </w:pPr>
      <w:r w:rsidRPr="00866770">
        <w:rPr>
          <w:bCs/>
        </w:rPr>
        <w:t xml:space="preserve">The optimal length structure for VAR is based on Schwarz info and Akaike </w:t>
      </w:r>
      <w:r w:rsidR="00866770">
        <w:rPr>
          <w:bCs/>
        </w:rPr>
        <w:t>I</w:t>
      </w:r>
      <w:r w:rsidRPr="00866770">
        <w:rPr>
          <w:bCs/>
        </w:rPr>
        <w:t>nfo</w:t>
      </w:r>
      <w:r w:rsidR="00866770">
        <w:rPr>
          <w:bCs/>
        </w:rPr>
        <w:t>rmation</w:t>
      </w:r>
      <w:r w:rsidRPr="00866770">
        <w:rPr>
          <w:bCs/>
        </w:rPr>
        <w:t xml:space="preserve"> </w:t>
      </w:r>
      <w:r w:rsidR="00866770">
        <w:rPr>
          <w:bCs/>
        </w:rPr>
        <w:t>C</w:t>
      </w:r>
      <w:r w:rsidRPr="00866770">
        <w:rPr>
          <w:bCs/>
        </w:rPr>
        <w:t>riterion</w:t>
      </w:r>
      <w:r w:rsidR="00866770">
        <w:rPr>
          <w:bCs/>
        </w:rPr>
        <w:t xml:space="preserve"> (AIC)</w:t>
      </w:r>
      <w:r w:rsidRPr="00866770">
        <w:rPr>
          <w:bCs/>
        </w:rPr>
        <w:t>, Interestingly each of the four models show no cointegration relationship in the period before the financial crisis and at most one cointegrating relationship after the period of financial crisis. Interestingly, both maximum Eigen statistic and trace test suggest at most one cointegrating vector for the vectors including the Japanese market, the German market and the US market for the period of post financial crisis.</w:t>
      </w:r>
    </w:p>
    <w:p w14:paraId="7BF4C4F3" w14:textId="77777777" w:rsidR="00866770" w:rsidRPr="00866770" w:rsidRDefault="00866770" w:rsidP="009E6088">
      <w:pPr>
        <w:pStyle w:val="NormalWeb"/>
        <w:shd w:val="clear" w:color="auto" w:fill="FFFFFF"/>
        <w:spacing w:before="0" w:beforeAutospacing="0" w:after="0" w:afterAutospacing="0"/>
        <w:ind w:firstLine="720"/>
        <w:jc w:val="both"/>
        <w:rPr>
          <w:bCs/>
        </w:rPr>
      </w:pPr>
    </w:p>
    <w:p w14:paraId="78C99DCC" w14:textId="78348CDE" w:rsidR="00DD7712" w:rsidRDefault="00DD7712" w:rsidP="009E6088">
      <w:pPr>
        <w:pStyle w:val="NormalWeb"/>
        <w:shd w:val="clear" w:color="auto" w:fill="FFFFFF"/>
        <w:spacing w:before="0" w:beforeAutospacing="0" w:after="0" w:afterAutospacing="0"/>
        <w:ind w:firstLine="720"/>
        <w:jc w:val="both"/>
        <w:rPr>
          <w:bCs/>
        </w:rPr>
      </w:pPr>
      <w:r w:rsidRPr="00866770">
        <w:rPr>
          <w:bCs/>
        </w:rPr>
        <w:t>In case of the vector including the UK market the trace test suggests that there is no cointegrating relationship present whereas the maximum Eigen statistic suggests the presence of one cointegrating relationship. As the two tests are efficient, we conclude the presence of one cointegrating relationship in the vector including the UK market.</w:t>
      </w:r>
    </w:p>
    <w:p w14:paraId="130D24C0" w14:textId="77777777" w:rsidR="00866770" w:rsidRPr="00866770" w:rsidRDefault="00866770" w:rsidP="009E6088">
      <w:pPr>
        <w:pStyle w:val="NormalWeb"/>
        <w:shd w:val="clear" w:color="auto" w:fill="FFFFFF"/>
        <w:spacing w:before="0" w:beforeAutospacing="0" w:after="0" w:afterAutospacing="0"/>
        <w:ind w:firstLine="720"/>
        <w:jc w:val="both"/>
        <w:rPr>
          <w:bCs/>
        </w:rPr>
      </w:pPr>
    </w:p>
    <w:p w14:paraId="69B78894" w14:textId="4A81A5CE" w:rsidR="00DD7712" w:rsidRDefault="00DD7712" w:rsidP="009E6088">
      <w:pPr>
        <w:pStyle w:val="NormalWeb"/>
        <w:shd w:val="clear" w:color="auto" w:fill="FFFFFF"/>
        <w:spacing w:before="0" w:beforeAutospacing="0" w:after="0" w:afterAutospacing="0"/>
        <w:ind w:firstLine="720"/>
        <w:jc w:val="both"/>
        <w:rPr>
          <w:bCs/>
        </w:rPr>
      </w:pPr>
      <w:r w:rsidRPr="00866770">
        <w:rPr>
          <w:bCs/>
        </w:rPr>
        <w:t xml:space="preserve">These results depict that the event of global financial crisis has increased the linkages between the stock markets of the world. This also suggests that efficient market hypothesis is violated after the global financial crisis and diversification across the markets is of no use as one market contains the information of other. </w:t>
      </w:r>
      <w:r w:rsidR="00866770" w:rsidRPr="00866770">
        <w:rPr>
          <w:bCs/>
        </w:rPr>
        <w:t>Also,</w:t>
      </w:r>
      <w:r w:rsidRPr="00866770">
        <w:rPr>
          <w:bCs/>
        </w:rPr>
        <w:t xml:space="preserve"> the event of global financial crisis acted like a contagion which spread the effects of itself to different economies of the world.</w:t>
      </w:r>
    </w:p>
    <w:p w14:paraId="6AC2B91C" w14:textId="77777777" w:rsidR="00866770" w:rsidRPr="00866770" w:rsidRDefault="00866770" w:rsidP="009E6088">
      <w:pPr>
        <w:pStyle w:val="NormalWeb"/>
        <w:shd w:val="clear" w:color="auto" w:fill="FFFFFF"/>
        <w:spacing w:before="0" w:beforeAutospacing="0" w:after="0" w:afterAutospacing="0"/>
        <w:ind w:firstLine="720"/>
        <w:jc w:val="both"/>
        <w:rPr>
          <w:bCs/>
        </w:rPr>
      </w:pPr>
    </w:p>
    <w:p w14:paraId="40FF7E24" w14:textId="4B4448E1" w:rsidR="00DD7712" w:rsidRDefault="00DD7712" w:rsidP="009E6088">
      <w:pPr>
        <w:pStyle w:val="NormalWeb"/>
        <w:shd w:val="clear" w:color="auto" w:fill="FFFFFF"/>
        <w:spacing w:before="0" w:beforeAutospacing="0" w:after="0" w:afterAutospacing="0"/>
        <w:ind w:firstLine="720"/>
        <w:jc w:val="both"/>
        <w:rPr>
          <w:bCs/>
        </w:rPr>
      </w:pPr>
      <w:r w:rsidRPr="00866770">
        <w:rPr>
          <w:bCs/>
        </w:rPr>
        <w:t>The presence of one cointegrating relationship suggests that there are three common trends in the model stated above. Moreover, the presence of cointegration in the four models rules out that the relationship between the SPIs is spurious and will lead to a meaningful result of the relationship.</w:t>
      </w:r>
    </w:p>
    <w:p w14:paraId="15ACB42F" w14:textId="77777777" w:rsidR="00866770" w:rsidRPr="00866770" w:rsidRDefault="00866770" w:rsidP="009E6088">
      <w:pPr>
        <w:pStyle w:val="NormalWeb"/>
        <w:shd w:val="clear" w:color="auto" w:fill="FFFFFF"/>
        <w:spacing w:before="0" w:beforeAutospacing="0" w:after="0" w:afterAutospacing="0"/>
        <w:ind w:firstLine="720"/>
        <w:jc w:val="both"/>
        <w:rPr>
          <w:bCs/>
        </w:rPr>
      </w:pPr>
    </w:p>
    <w:p w14:paraId="249705E5" w14:textId="1D893DC0" w:rsidR="00DD7712" w:rsidRDefault="00DD7712" w:rsidP="009E6088">
      <w:pPr>
        <w:pStyle w:val="NormalWeb"/>
        <w:shd w:val="clear" w:color="auto" w:fill="FFFFFF"/>
        <w:spacing w:before="0" w:beforeAutospacing="0" w:after="0" w:afterAutospacing="0"/>
        <w:ind w:firstLine="720"/>
        <w:jc w:val="both"/>
        <w:rPr>
          <w:bCs/>
        </w:rPr>
      </w:pPr>
      <w:r w:rsidRPr="00866770">
        <w:rPr>
          <w:bCs/>
        </w:rPr>
        <w:t>Secondly, there will be granger causality either unidirectional or bidirectional running between the markets in the short run.</w:t>
      </w:r>
    </w:p>
    <w:p w14:paraId="3512BDF3" w14:textId="77777777" w:rsidR="00866770" w:rsidRPr="00866770" w:rsidRDefault="00866770" w:rsidP="009E6088">
      <w:pPr>
        <w:pStyle w:val="NormalWeb"/>
        <w:shd w:val="clear" w:color="auto" w:fill="FFFFFF"/>
        <w:spacing w:before="0" w:beforeAutospacing="0" w:after="0" w:afterAutospacing="0"/>
        <w:ind w:firstLine="720"/>
        <w:jc w:val="both"/>
        <w:rPr>
          <w:bCs/>
        </w:rPr>
      </w:pPr>
    </w:p>
    <w:p w14:paraId="50C9DB5C" w14:textId="2B0DECE5" w:rsidR="00DD7712" w:rsidRDefault="00DD7712" w:rsidP="009E6088">
      <w:pPr>
        <w:pStyle w:val="NormalWeb"/>
        <w:shd w:val="clear" w:color="auto" w:fill="FFFFFF"/>
        <w:spacing w:before="0" w:beforeAutospacing="0" w:after="0" w:afterAutospacing="0"/>
        <w:ind w:firstLine="720"/>
        <w:jc w:val="both"/>
        <w:rPr>
          <w:bCs/>
        </w:rPr>
      </w:pPr>
      <w:r w:rsidRPr="00866770">
        <w:rPr>
          <w:bCs/>
        </w:rPr>
        <w:lastRenderedPageBreak/>
        <w:t>Thirdly, the number of cointegrating relationships found in the system will produce error correction term which will be used as in the vector error correction mechanism of the systems.</w:t>
      </w:r>
    </w:p>
    <w:p w14:paraId="5045C9F5" w14:textId="77777777" w:rsidR="00866770" w:rsidRPr="00866770" w:rsidRDefault="00866770" w:rsidP="009E6088">
      <w:pPr>
        <w:pStyle w:val="NormalWeb"/>
        <w:shd w:val="clear" w:color="auto" w:fill="FFFFFF"/>
        <w:spacing w:before="0" w:beforeAutospacing="0" w:after="0" w:afterAutospacing="0"/>
        <w:ind w:firstLine="720"/>
        <w:jc w:val="both"/>
        <w:rPr>
          <w:bCs/>
        </w:rPr>
      </w:pPr>
    </w:p>
    <w:p w14:paraId="4588FED3" w14:textId="6293B90F" w:rsidR="00DD7712" w:rsidRDefault="00DD7712" w:rsidP="009E6088">
      <w:pPr>
        <w:pStyle w:val="NormalWeb"/>
        <w:shd w:val="clear" w:color="auto" w:fill="FFFFFF"/>
        <w:spacing w:before="0" w:beforeAutospacing="0" w:after="0" w:afterAutospacing="0"/>
        <w:ind w:firstLine="720"/>
        <w:jc w:val="both"/>
        <w:rPr>
          <w:bCs/>
        </w:rPr>
      </w:pPr>
      <w:r w:rsidRPr="00866770">
        <w:rPr>
          <w:bCs/>
        </w:rPr>
        <w:t>Fourthly, the presence of cointegration rules out the specification of structural VAR as it does not impose the constraint of cointegrating relationships</w:t>
      </w:r>
      <w:r w:rsidR="00866770">
        <w:rPr>
          <w:bCs/>
        </w:rPr>
        <w:t>.</w:t>
      </w:r>
    </w:p>
    <w:p w14:paraId="582F4FB6" w14:textId="77777777" w:rsidR="00866770" w:rsidRPr="000E24C2" w:rsidRDefault="00866770" w:rsidP="009E6088">
      <w:pPr>
        <w:pStyle w:val="NormalWeb"/>
        <w:shd w:val="clear" w:color="auto" w:fill="FFFFFF"/>
        <w:spacing w:before="0" w:beforeAutospacing="0" w:after="0" w:afterAutospacing="0"/>
        <w:ind w:firstLine="720"/>
        <w:jc w:val="both"/>
      </w:pPr>
    </w:p>
    <w:p w14:paraId="5E803BE9" w14:textId="77777777" w:rsidR="00F2472E" w:rsidRDefault="00DD7712" w:rsidP="009E6088">
      <w:pPr>
        <w:pStyle w:val="NoSpacing"/>
        <w:rPr>
          <w:rFonts w:ascii="Times New Roman" w:eastAsia="Times New Roman" w:hAnsi="Times New Roman" w:cs="Times New Roman"/>
          <w:b/>
          <w:sz w:val="20"/>
          <w:szCs w:val="20"/>
        </w:rPr>
      </w:pPr>
      <w:r w:rsidRPr="00F2472E">
        <w:rPr>
          <w:rFonts w:ascii="Times New Roman" w:eastAsia="Times New Roman" w:hAnsi="Times New Roman" w:cs="Times New Roman"/>
          <w:b/>
          <w:sz w:val="20"/>
          <w:szCs w:val="20"/>
        </w:rPr>
        <w:t xml:space="preserve">Table </w:t>
      </w:r>
      <w:r w:rsidR="00866770" w:rsidRPr="00F2472E">
        <w:rPr>
          <w:rFonts w:ascii="Times New Roman" w:eastAsia="Times New Roman" w:hAnsi="Times New Roman" w:cs="Times New Roman"/>
          <w:b/>
          <w:sz w:val="20"/>
          <w:szCs w:val="20"/>
        </w:rPr>
        <w:t>4</w:t>
      </w:r>
      <w:r w:rsidRPr="00F2472E">
        <w:rPr>
          <w:rFonts w:ascii="Times New Roman" w:eastAsia="Times New Roman" w:hAnsi="Times New Roman" w:cs="Times New Roman"/>
          <w:b/>
          <w:sz w:val="20"/>
          <w:szCs w:val="20"/>
        </w:rPr>
        <w:t>.2a</w:t>
      </w:r>
    </w:p>
    <w:p w14:paraId="33A4CF6D" w14:textId="149CCD64" w:rsidR="00DD7712" w:rsidRPr="00F2472E" w:rsidRDefault="00DD7712" w:rsidP="009E6088">
      <w:pPr>
        <w:pStyle w:val="NoSpacing"/>
        <w:jc w:val="both"/>
        <w:rPr>
          <w:rFonts w:ascii="Times New Roman" w:eastAsia="Times New Roman" w:hAnsi="Times New Roman" w:cs="Times New Roman"/>
          <w:b/>
          <w:i/>
          <w:iCs/>
          <w:sz w:val="20"/>
          <w:szCs w:val="20"/>
        </w:rPr>
      </w:pPr>
      <w:r w:rsidRPr="00F2472E">
        <w:rPr>
          <w:rFonts w:ascii="Times New Roman" w:eastAsia="Times New Roman" w:hAnsi="Times New Roman" w:cs="Times New Roman"/>
          <w:b/>
          <w:i/>
          <w:iCs/>
          <w:sz w:val="20"/>
          <w:szCs w:val="20"/>
        </w:rPr>
        <w:t xml:space="preserve">Cointegration test proposed by Johansen and </w:t>
      </w:r>
      <w:proofErr w:type="spellStart"/>
      <w:r w:rsidRPr="00F2472E">
        <w:rPr>
          <w:rFonts w:ascii="Times New Roman" w:eastAsia="Times New Roman" w:hAnsi="Times New Roman" w:cs="Times New Roman"/>
          <w:b/>
          <w:i/>
          <w:iCs/>
          <w:sz w:val="20"/>
          <w:szCs w:val="20"/>
        </w:rPr>
        <w:t>Juselius</w:t>
      </w:r>
      <w:proofErr w:type="spellEnd"/>
      <w:r w:rsidRPr="00F2472E">
        <w:rPr>
          <w:rFonts w:ascii="Times New Roman" w:eastAsia="Times New Roman" w:hAnsi="Times New Roman" w:cs="Times New Roman"/>
          <w:b/>
          <w:i/>
          <w:iCs/>
          <w:sz w:val="20"/>
          <w:szCs w:val="20"/>
        </w:rPr>
        <w:t xml:space="preserve"> for multivariate environment for the Post Global financial crisis data</w:t>
      </w:r>
    </w:p>
    <w:tbl>
      <w:tblPr>
        <w:tblW w:w="5000" w:type="pct"/>
        <w:tblBorders>
          <w:top w:val="single" w:sz="12" w:space="0" w:color="auto"/>
          <w:bottom w:val="single" w:sz="12" w:space="0" w:color="auto"/>
        </w:tblBorders>
        <w:tblLook w:val="04A0" w:firstRow="1" w:lastRow="0" w:firstColumn="1" w:lastColumn="0" w:noHBand="0" w:noVBand="1"/>
      </w:tblPr>
      <w:tblGrid>
        <w:gridCol w:w="572"/>
        <w:gridCol w:w="2159"/>
        <w:gridCol w:w="373"/>
        <w:gridCol w:w="1366"/>
        <w:gridCol w:w="1812"/>
      </w:tblGrid>
      <w:tr w:rsidR="00DD7712" w:rsidRPr="00F2472E" w14:paraId="4B36A71C" w14:textId="77777777" w:rsidTr="00F2472E">
        <w:trPr>
          <w:trHeight w:val="315"/>
        </w:trPr>
        <w:tc>
          <w:tcPr>
            <w:tcW w:w="2174" w:type="pct"/>
            <w:gridSpan w:val="2"/>
            <w:tcBorders>
              <w:top w:val="single" w:sz="12" w:space="0" w:color="auto"/>
              <w:bottom w:val="single" w:sz="12" w:space="0" w:color="auto"/>
            </w:tcBorders>
            <w:shd w:val="clear" w:color="auto" w:fill="auto"/>
            <w:noWrap/>
            <w:vAlign w:val="center"/>
            <w:hideMark/>
          </w:tcPr>
          <w:p w14:paraId="54B65C37"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Hypotheses</w:t>
            </w:r>
          </w:p>
        </w:tc>
        <w:tc>
          <w:tcPr>
            <w:tcW w:w="297" w:type="pct"/>
            <w:tcBorders>
              <w:top w:val="single" w:sz="12" w:space="0" w:color="auto"/>
              <w:bottom w:val="single" w:sz="12" w:space="0" w:color="auto"/>
            </w:tcBorders>
            <w:shd w:val="clear" w:color="auto" w:fill="auto"/>
            <w:noWrap/>
            <w:vAlign w:val="center"/>
            <w:hideMark/>
          </w:tcPr>
          <w:p w14:paraId="72FC9F17"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2529" w:type="pct"/>
            <w:gridSpan w:val="2"/>
            <w:tcBorders>
              <w:top w:val="single" w:sz="12" w:space="0" w:color="auto"/>
              <w:bottom w:val="single" w:sz="12" w:space="0" w:color="auto"/>
            </w:tcBorders>
            <w:shd w:val="clear" w:color="auto" w:fill="auto"/>
            <w:noWrap/>
            <w:vAlign w:val="center"/>
            <w:hideMark/>
          </w:tcPr>
          <w:p w14:paraId="607031E2"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Test Statistic</w:t>
            </w:r>
          </w:p>
        </w:tc>
      </w:tr>
      <w:tr w:rsidR="00F2472E" w:rsidRPr="00F2472E" w14:paraId="0D00CE3A" w14:textId="77777777" w:rsidTr="00F2472E">
        <w:trPr>
          <w:trHeight w:val="315"/>
        </w:trPr>
        <w:tc>
          <w:tcPr>
            <w:tcW w:w="5000" w:type="pct"/>
            <w:gridSpan w:val="5"/>
            <w:tcBorders>
              <w:bottom w:val="single" w:sz="4" w:space="0" w:color="auto"/>
            </w:tcBorders>
            <w:shd w:val="clear" w:color="auto" w:fill="auto"/>
            <w:noWrap/>
            <w:vAlign w:val="center"/>
            <w:hideMark/>
          </w:tcPr>
          <w:p w14:paraId="40E42F8B" w14:textId="1A7142EA" w:rsidR="00F2472E" w:rsidRPr="00F2472E" w:rsidRDefault="00F2472E" w:rsidP="009E6088">
            <w:pPr>
              <w:spacing w:after="0" w:line="240" w:lineRule="auto"/>
              <w:jc w:val="center"/>
              <w:rPr>
                <w:rFonts w:eastAsia="Times New Roman" w:cs="Times New Roman"/>
                <w:color w:val="000000"/>
                <w:sz w:val="20"/>
                <w:szCs w:val="20"/>
              </w:rPr>
            </w:pPr>
            <w:r w:rsidRPr="00F2472E">
              <w:rPr>
                <w:rFonts w:eastAsia="Times New Roman" w:cs="Times New Roman"/>
                <w:color w:val="000000"/>
                <w:sz w:val="20"/>
                <w:szCs w:val="20"/>
              </w:rPr>
              <w:t>Vector: [US, PK, IND, CN]</w:t>
            </w:r>
          </w:p>
        </w:tc>
      </w:tr>
      <w:tr w:rsidR="00F2472E" w:rsidRPr="00F2472E" w14:paraId="0BA654D3" w14:textId="77777777" w:rsidTr="00F2472E">
        <w:trPr>
          <w:trHeight w:val="315"/>
        </w:trPr>
        <w:tc>
          <w:tcPr>
            <w:tcW w:w="455" w:type="pct"/>
            <w:tcBorders>
              <w:top w:val="single" w:sz="4" w:space="0" w:color="auto"/>
              <w:bottom w:val="single" w:sz="4" w:space="0" w:color="auto"/>
            </w:tcBorders>
            <w:shd w:val="clear" w:color="auto" w:fill="auto"/>
            <w:noWrap/>
            <w:vAlign w:val="center"/>
            <w:hideMark/>
          </w:tcPr>
          <w:p w14:paraId="0CD2999B"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Null</w:t>
            </w:r>
          </w:p>
        </w:tc>
        <w:tc>
          <w:tcPr>
            <w:tcW w:w="1718" w:type="pct"/>
            <w:tcBorders>
              <w:top w:val="single" w:sz="4" w:space="0" w:color="auto"/>
              <w:bottom w:val="single" w:sz="4" w:space="0" w:color="auto"/>
            </w:tcBorders>
            <w:shd w:val="clear" w:color="auto" w:fill="auto"/>
            <w:noWrap/>
            <w:vAlign w:val="center"/>
            <w:hideMark/>
          </w:tcPr>
          <w:p w14:paraId="065B93A6"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Alternate</w:t>
            </w:r>
          </w:p>
        </w:tc>
        <w:tc>
          <w:tcPr>
            <w:tcW w:w="297" w:type="pct"/>
            <w:tcBorders>
              <w:top w:val="single" w:sz="4" w:space="0" w:color="auto"/>
              <w:bottom w:val="single" w:sz="4" w:space="0" w:color="auto"/>
            </w:tcBorders>
            <w:shd w:val="clear" w:color="auto" w:fill="auto"/>
            <w:noWrap/>
            <w:vAlign w:val="center"/>
            <w:hideMark/>
          </w:tcPr>
          <w:p w14:paraId="023BED99"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tcBorders>
              <w:top w:val="single" w:sz="4" w:space="0" w:color="auto"/>
              <w:bottom w:val="single" w:sz="4" w:space="0" w:color="auto"/>
            </w:tcBorders>
            <w:shd w:val="clear" w:color="auto" w:fill="auto"/>
            <w:noWrap/>
            <w:vAlign w:val="center"/>
            <w:hideMark/>
          </w:tcPr>
          <w:p w14:paraId="5016B317"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Trace Statistic</w:t>
            </w:r>
          </w:p>
        </w:tc>
        <w:tc>
          <w:tcPr>
            <w:tcW w:w="1442" w:type="pct"/>
            <w:tcBorders>
              <w:top w:val="single" w:sz="4" w:space="0" w:color="auto"/>
              <w:bottom w:val="single" w:sz="4" w:space="0" w:color="auto"/>
            </w:tcBorders>
            <w:shd w:val="clear" w:color="auto" w:fill="auto"/>
            <w:noWrap/>
            <w:vAlign w:val="center"/>
            <w:hideMark/>
          </w:tcPr>
          <w:p w14:paraId="11E14F27"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Max-Eigen Statistic</w:t>
            </w:r>
          </w:p>
        </w:tc>
      </w:tr>
      <w:tr w:rsidR="00F2472E" w:rsidRPr="00F2472E" w14:paraId="1FFA7ADB" w14:textId="77777777" w:rsidTr="00F2472E">
        <w:trPr>
          <w:trHeight w:val="360"/>
        </w:trPr>
        <w:tc>
          <w:tcPr>
            <w:tcW w:w="455" w:type="pct"/>
            <w:shd w:val="clear" w:color="auto" w:fill="auto"/>
            <w:noWrap/>
            <w:vAlign w:val="center"/>
            <w:hideMark/>
          </w:tcPr>
          <w:p w14:paraId="25882D42"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r=0</w:t>
            </w:r>
          </w:p>
        </w:tc>
        <w:tc>
          <w:tcPr>
            <w:tcW w:w="1718" w:type="pct"/>
            <w:shd w:val="clear" w:color="auto" w:fill="auto"/>
            <w:noWrap/>
            <w:vAlign w:val="center"/>
            <w:hideMark/>
          </w:tcPr>
          <w:p w14:paraId="743CF638"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r&gt;0</w:t>
            </w:r>
          </w:p>
        </w:tc>
        <w:tc>
          <w:tcPr>
            <w:tcW w:w="297" w:type="pct"/>
            <w:shd w:val="clear" w:color="auto" w:fill="auto"/>
            <w:noWrap/>
            <w:vAlign w:val="center"/>
            <w:hideMark/>
          </w:tcPr>
          <w:p w14:paraId="61BEB9DA"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shd w:val="clear" w:color="auto" w:fill="auto"/>
            <w:noWrap/>
            <w:vAlign w:val="center"/>
            <w:hideMark/>
          </w:tcPr>
          <w:p w14:paraId="6CECD59B"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62.08639</w:t>
            </w:r>
            <w:r w:rsidRPr="00F2472E">
              <w:rPr>
                <w:rFonts w:eastAsia="Times New Roman" w:cs="Times New Roman"/>
                <w:color w:val="000000"/>
                <w:sz w:val="20"/>
                <w:szCs w:val="20"/>
                <w:vertAlign w:val="superscript"/>
              </w:rPr>
              <w:t>a</w:t>
            </w:r>
          </w:p>
        </w:tc>
        <w:tc>
          <w:tcPr>
            <w:tcW w:w="1442" w:type="pct"/>
            <w:shd w:val="clear" w:color="auto" w:fill="auto"/>
            <w:noWrap/>
            <w:vAlign w:val="center"/>
            <w:hideMark/>
          </w:tcPr>
          <w:p w14:paraId="54CB8D59"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34.78801</w:t>
            </w:r>
            <w:r w:rsidRPr="00F2472E">
              <w:rPr>
                <w:rFonts w:eastAsia="Times New Roman" w:cs="Times New Roman"/>
                <w:color w:val="000000"/>
                <w:sz w:val="20"/>
                <w:szCs w:val="20"/>
                <w:vertAlign w:val="superscript"/>
              </w:rPr>
              <w:t>a</w:t>
            </w:r>
          </w:p>
        </w:tc>
      </w:tr>
      <w:tr w:rsidR="00F2472E" w:rsidRPr="00F2472E" w14:paraId="6BB83224" w14:textId="77777777" w:rsidTr="00F2472E">
        <w:trPr>
          <w:trHeight w:val="315"/>
        </w:trPr>
        <w:tc>
          <w:tcPr>
            <w:tcW w:w="455" w:type="pct"/>
            <w:shd w:val="clear" w:color="auto" w:fill="auto"/>
            <w:noWrap/>
            <w:vAlign w:val="center"/>
            <w:hideMark/>
          </w:tcPr>
          <w:p w14:paraId="6747F022"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r≤1</w:t>
            </w:r>
          </w:p>
        </w:tc>
        <w:tc>
          <w:tcPr>
            <w:tcW w:w="1718" w:type="pct"/>
            <w:shd w:val="clear" w:color="auto" w:fill="auto"/>
            <w:noWrap/>
            <w:vAlign w:val="center"/>
            <w:hideMark/>
          </w:tcPr>
          <w:p w14:paraId="4DD43A9E"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r&gt;1</w:t>
            </w:r>
          </w:p>
        </w:tc>
        <w:tc>
          <w:tcPr>
            <w:tcW w:w="297" w:type="pct"/>
            <w:shd w:val="clear" w:color="auto" w:fill="auto"/>
            <w:noWrap/>
            <w:vAlign w:val="center"/>
            <w:hideMark/>
          </w:tcPr>
          <w:p w14:paraId="61D99950"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shd w:val="clear" w:color="auto" w:fill="auto"/>
            <w:noWrap/>
            <w:vAlign w:val="center"/>
            <w:hideMark/>
          </w:tcPr>
          <w:p w14:paraId="73DB6AB3"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27.29839</w:t>
            </w:r>
          </w:p>
        </w:tc>
        <w:tc>
          <w:tcPr>
            <w:tcW w:w="1442" w:type="pct"/>
            <w:shd w:val="clear" w:color="auto" w:fill="auto"/>
            <w:noWrap/>
            <w:vAlign w:val="center"/>
            <w:hideMark/>
          </w:tcPr>
          <w:p w14:paraId="439950A9"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19.72203</w:t>
            </w:r>
          </w:p>
        </w:tc>
      </w:tr>
      <w:tr w:rsidR="00F2472E" w:rsidRPr="00F2472E" w14:paraId="68005AFB" w14:textId="77777777" w:rsidTr="00F2472E">
        <w:trPr>
          <w:trHeight w:val="315"/>
        </w:trPr>
        <w:tc>
          <w:tcPr>
            <w:tcW w:w="455" w:type="pct"/>
            <w:shd w:val="clear" w:color="auto" w:fill="auto"/>
            <w:noWrap/>
            <w:vAlign w:val="center"/>
            <w:hideMark/>
          </w:tcPr>
          <w:p w14:paraId="14688B9D"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r≤2</w:t>
            </w:r>
          </w:p>
        </w:tc>
        <w:tc>
          <w:tcPr>
            <w:tcW w:w="1718" w:type="pct"/>
            <w:shd w:val="clear" w:color="auto" w:fill="auto"/>
            <w:noWrap/>
            <w:vAlign w:val="center"/>
            <w:hideMark/>
          </w:tcPr>
          <w:p w14:paraId="09C0B552"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r&gt;2</w:t>
            </w:r>
          </w:p>
        </w:tc>
        <w:tc>
          <w:tcPr>
            <w:tcW w:w="297" w:type="pct"/>
            <w:shd w:val="clear" w:color="auto" w:fill="auto"/>
            <w:noWrap/>
            <w:vAlign w:val="center"/>
            <w:hideMark/>
          </w:tcPr>
          <w:p w14:paraId="40F8AF81"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shd w:val="clear" w:color="auto" w:fill="auto"/>
            <w:noWrap/>
            <w:vAlign w:val="center"/>
            <w:hideMark/>
          </w:tcPr>
          <w:p w14:paraId="1F71C1DB"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7.576352</w:t>
            </w:r>
          </w:p>
        </w:tc>
        <w:tc>
          <w:tcPr>
            <w:tcW w:w="1442" w:type="pct"/>
            <w:shd w:val="clear" w:color="auto" w:fill="auto"/>
            <w:noWrap/>
            <w:vAlign w:val="center"/>
            <w:hideMark/>
          </w:tcPr>
          <w:p w14:paraId="6A26A7CD"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7.325672</w:t>
            </w:r>
          </w:p>
        </w:tc>
      </w:tr>
      <w:tr w:rsidR="00F2472E" w:rsidRPr="00F2472E" w14:paraId="02D68E96" w14:textId="77777777" w:rsidTr="00184446">
        <w:trPr>
          <w:trHeight w:val="315"/>
        </w:trPr>
        <w:tc>
          <w:tcPr>
            <w:tcW w:w="455" w:type="pct"/>
            <w:tcBorders>
              <w:bottom w:val="single" w:sz="4" w:space="0" w:color="auto"/>
            </w:tcBorders>
            <w:shd w:val="clear" w:color="auto" w:fill="auto"/>
            <w:noWrap/>
            <w:vAlign w:val="center"/>
            <w:hideMark/>
          </w:tcPr>
          <w:p w14:paraId="70AF4485"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r≤3</w:t>
            </w:r>
          </w:p>
        </w:tc>
        <w:tc>
          <w:tcPr>
            <w:tcW w:w="1718" w:type="pct"/>
            <w:tcBorders>
              <w:bottom w:val="single" w:sz="4" w:space="0" w:color="auto"/>
            </w:tcBorders>
            <w:shd w:val="clear" w:color="auto" w:fill="auto"/>
            <w:noWrap/>
            <w:vAlign w:val="center"/>
            <w:hideMark/>
          </w:tcPr>
          <w:p w14:paraId="0EE48D64" w14:textId="69CE8F35"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r&gt;3</w:t>
            </w:r>
          </w:p>
        </w:tc>
        <w:tc>
          <w:tcPr>
            <w:tcW w:w="297" w:type="pct"/>
            <w:tcBorders>
              <w:bottom w:val="single" w:sz="4" w:space="0" w:color="auto"/>
            </w:tcBorders>
            <w:shd w:val="clear" w:color="auto" w:fill="auto"/>
            <w:noWrap/>
            <w:vAlign w:val="center"/>
            <w:hideMark/>
          </w:tcPr>
          <w:p w14:paraId="7110FE88"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tcBorders>
              <w:bottom w:val="single" w:sz="4" w:space="0" w:color="auto"/>
            </w:tcBorders>
            <w:shd w:val="clear" w:color="auto" w:fill="auto"/>
            <w:noWrap/>
            <w:vAlign w:val="center"/>
            <w:hideMark/>
          </w:tcPr>
          <w:p w14:paraId="34019301" w14:textId="77777777" w:rsidR="00DD7712" w:rsidRPr="00F2472E" w:rsidRDefault="00DD7712" w:rsidP="009E6088">
            <w:pPr>
              <w:spacing w:after="0" w:line="240" w:lineRule="auto"/>
              <w:jc w:val="both"/>
              <w:rPr>
                <w:rFonts w:cs="Times New Roman"/>
                <w:color w:val="000000"/>
                <w:sz w:val="20"/>
                <w:szCs w:val="20"/>
              </w:rPr>
            </w:pPr>
            <w:r w:rsidRPr="00F2472E">
              <w:rPr>
                <w:rFonts w:eastAsia="Times New Roman" w:cs="Times New Roman"/>
                <w:color w:val="000000"/>
                <w:sz w:val="20"/>
                <w:szCs w:val="20"/>
              </w:rPr>
              <w:t>0.25068</w:t>
            </w:r>
          </w:p>
        </w:tc>
        <w:tc>
          <w:tcPr>
            <w:tcW w:w="1442" w:type="pct"/>
            <w:tcBorders>
              <w:bottom w:val="single" w:sz="4" w:space="0" w:color="auto"/>
            </w:tcBorders>
            <w:shd w:val="clear" w:color="auto" w:fill="auto"/>
            <w:noWrap/>
            <w:vAlign w:val="center"/>
            <w:hideMark/>
          </w:tcPr>
          <w:tbl>
            <w:tblPr>
              <w:tblW w:w="0" w:type="auto"/>
              <w:tblInd w:w="30" w:type="dxa"/>
              <w:tblCellMar>
                <w:left w:w="0" w:type="dxa"/>
                <w:right w:w="0" w:type="dxa"/>
              </w:tblCellMar>
              <w:tblLook w:val="0000" w:firstRow="0" w:lastRow="0" w:firstColumn="0" w:lastColumn="0" w:noHBand="0" w:noVBand="0"/>
            </w:tblPr>
            <w:tblGrid>
              <w:gridCol w:w="1387"/>
            </w:tblGrid>
            <w:tr w:rsidR="00DD7712" w:rsidRPr="00F2472E" w14:paraId="079F926E" w14:textId="77777777" w:rsidTr="005D02E3">
              <w:trPr>
                <w:trHeight w:val="225"/>
              </w:trPr>
              <w:tc>
                <w:tcPr>
                  <w:tcW w:w="1387" w:type="dxa"/>
                  <w:tcBorders>
                    <w:top w:val="nil"/>
                    <w:left w:val="nil"/>
                    <w:bottom w:val="nil"/>
                    <w:right w:val="nil"/>
                  </w:tcBorders>
                  <w:vAlign w:val="bottom"/>
                </w:tcPr>
                <w:p w14:paraId="3B7160E9"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0.250680</w:t>
                  </w:r>
                </w:p>
              </w:tc>
            </w:tr>
          </w:tbl>
          <w:p w14:paraId="0FC139E4" w14:textId="77777777" w:rsidR="00DD7712" w:rsidRPr="00F2472E" w:rsidRDefault="00DD7712" w:rsidP="009E6088">
            <w:pPr>
              <w:spacing w:after="0" w:line="240" w:lineRule="auto"/>
              <w:jc w:val="both"/>
              <w:rPr>
                <w:rFonts w:eastAsia="Times New Roman" w:cs="Times New Roman"/>
                <w:color w:val="000000"/>
                <w:sz w:val="20"/>
                <w:szCs w:val="20"/>
              </w:rPr>
            </w:pPr>
          </w:p>
        </w:tc>
      </w:tr>
      <w:tr w:rsidR="00184446" w:rsidRPr="00F2472E" w14:paraId="09674B4D" w14:textId="77777777" w:rsidTr="00184446">
        <w:trPr>
          <w:trHeight w:val="315"/>
        </w:trPr>
        <w:tc>
          <w:tcPr>
            <w:tcW w:w="5000" w:type="pct"/>
            <w:gridSpan w:val="5"/>
            <w:tcBorders>
              <w:top w:val="single" w:sz="4" w:space="0" w:color="auto"/>
              <w:bottom w:val="single" w:sz="4" w:space="0" w:color="auto"/>
            </w:tcBorders>
            <w:shd w:val="clear" w:color="auto" w:fill="auto"/>
            <w:noWrap/>
            <w:vAlign w:val="center"/>
            <w:hideMark/>
          </w:tcPr>
          <w:p w14:paraId="48F5666D" w14:textId="5E8ECC85" w:rsidR="00184446" w:rsidRPr="00F2472E" w:rsidRDefault="00184446" w:rsidP="009E6088">
            <w:pPr>
              <w:spacing w:after="0" w:line="240" w:lineRule="auto"/>
              <w:jc w:val="center"/>
              <w:rPr>
                <w:rFonts w:eastAsia="Times New Roman" w:cs="Times New Roman"/>
                <w:color w:val="000000"/>
                <w:sz w:val="20"/>
                <w:szCs w:val="20"/>
              </w:rPr>
            </w:pPr>
            <w:r w:rsidRPr="00F2472E">
              <w:rPr>
                <w:rFonts w:eastAsia="Times New Roman" w:cs="Times New Roman"/>
                <w:color w:val="000000"/>
                <w:sz w:val="20"/>
                <w:szCs w:val="20"/>
              </w:rPr>
              <w:t>Vector: [UK,PK, IND, CN]</w:t>
            </w:r>
          </w:p>
        </w:tc>
      </w:tr>
      <w:tr w:rsidR="00F2472E" w:rsidRPr="00F2472E" w14:paraId="34181A51" w14:textId="77777777" w:rsidTr="00184446">
        <w:trPr>
          <w:trHeight w:val="315"/>
        </w:trPr>
        <w:tc>
          <w:tcPr>
            <w:tcW w:w="455" w:type="pct"/>
            <w:tcBorders>
              <w:top w:val="single" w:sz="4" w:space="0" w:color="auto"/>
              <w:bottom w:val="single" w:sz="4" w:space="0" w:color="auto"/>
            </w:tcBorders>
            <w:shd w:val="clear" w:color="auto" w:fill="auto"/>
            <w:noWrap/>
            <w:vAlign w:val="center"/>
            <w:hideMark/>
          </w:tcPr>
          <w:p w14:paraId="61B1BE5E"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Null</w:t>
            </w:r>
          </w:p>
        </w:tc>
        <w:tc>
          <w:tcPr>
            <w:tcW w:w="1718" w:type="pct"/>
            <w:tcBorders>
              <w:top w:val="single" w:sz="4" w:space="0" w:color="auto"/>
              <w:bottom w:val="single" w:sz="4" w:space="0" w:color="auto"/>
            </w:tcBorders>
            <w:shd w:val="clear" w:color="auto" w:fill="auto"/>
            <w:noWrap/>
            <w:vAlign w:val="center"/>
            <w:hideMark/>
          </w:tcPr>
          <w:p w14:paraId="7AE0F875"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Alternate</w:t>
            </w:r>
          </w:p>
        </w:tc>
        <w:tc>
          <w:tcPr>
            <w:tcW w:w="297" w:type="pct"/>
            <w:tcBorders>
              <w:top w:val="single" w:sz="4" w:space="0" w:color="auto"/>
              <w:bottom w:val="single" w:sz="4" w:space="0" w:color="auto"/>
            </w:tcBorders>
            <w:shd w:val="clear" w:color="auto" w:fill="auto"/>
            <w:noWrap/>
            <w:vAlign w:val="center"/>
            <w:hideMark/>
          </w:tcPr>
          <w:p w14:paraId="23A89851"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tcBorders>
              <w:top w:val="single" w:sz="4" w:space="0" w:color="auto"/>
              <w:bottom w:val="single" w:sz="4" w:space="0" w:color="auto"/>
            </w:tcBorders>
            <w:shd w:val="clear" w:color="auto" w:fill="auto"/>
            <w:noWrap/>
            <w:vAlign w:val="center"/>
            <w:hideMark/>
          </w:tcPr>
          <w:p w14:paraId="15E81FFD"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Trace Statistic</w:t>
            </w:r>
          </w:p>
        </w:tc>
        <w:tc>
          <w:tcPr>
            <w:tcW w:w="1442" w:type="pct"/>
            <w:tcBorders>
              <w:top w:val="single" w:sz="4" w:space="0" w:color="auto"/>
              <w:bottom w:val="single" w:sz="4" w:space="0" w:color="auto"/>
            </w:tcBorders>
            <w:shd w:val="clear" w:color="auto" w:fill="auto"/>
            <w:noWrap/>
            <w:vAlign w:val="center"/>
            <w:hideMark/>
          </w:tcPr>
          <w:p w14:paraId="051FE81C"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Max-Eigen Statistic</w:t>
            </w:r>
          </w:p>
        </w:tc>
      </w:tr>
      <w:tr w:rsidR="00F2472E" w:rsidRPr="00F2472E" w14:paraId="7720092D" w14:textId="77777777" w:rsidTr="00184446">
        <w:trPr>
          <w:trHeight w:val="360"/>
        </w:trPr>
        <w:tc>
          <w:tcPr>
            <w:tcW w:w="455" w:type="pct"/>
            <w:tcBorders>
              <w:top w:val="single" w:sz="4" w:space="0" w:color="auto"/>
            </w:tcBorders>
            <w:shd w:val="clear" w:color="auto" w:fill="auto"/>
            <w:noWrap/>
            <w:vAlign w:val="center"/>
            <w:hideMark/>
          </w:tcPr>
          <w:p w14:paraId="5935DFDC"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r=0</w:t>
            </w:r>
          </w:p>
        </w:tc>
        <w:tc>
          <w:tcPr>
            <w:tcW w:w="1718" w:type="pct"/>
            <w:tcBorders>
              <w:top w:val="single" w:sz="4" w:space="0" w:color="auto"/>
            </w:tcBorders>
            <w:shd w:val="clear" w:color="auto" w:fill="auto"/>
            <w:noWrap/>
            <w:vAlign w:val="center"/>
            <w:hideMark/>
          </w:tcPr>
          <w:p w14:paraId="02D9F1FD"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r&gt;0</w:t>
            </w:r>
          </w:p>
        </w:tc>
        <w:tc>
          <w:tcPr>
            <w:tcW w:w="297" w:type="pct"/>
            <w:tcBorders>
              <w:top w:val="single" w:sz="4" w:space="0" w:color="auto"/>
            </w:tcBorders>
            <w:shd w:val="clear" w:color="auto" w:fill="auto"/>
            <w:noWrap/>
            <w:vAlign w:val="center"/>
            <w:hideMark/>
          </w:tcPr>
          <w:p w14:paraId="7E251C12"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tcBorders>
              <w:top w:val="single" w:sz="4" w:space="0" w:color="auto"/>
            </w:tcBorders>
            <w:shd w:val="clear" w:color="auto" w:fill="auto"/>
            <w:noWrap/>
            <w:vAlign w:val="center"/>
            <w:hideMark/>
          </w:tcPr>
          <w:p w14:paraId="70B2E256"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44.67286</w:t>
            </w:r>
          </w:p>
        </w:tc>
        <w:tc>
          <w:tcPr>
            <w:tcW w:w="1442" w:type="pct"/>
            <w:tcBorders>
              <w:top w:val="single" w:sz="4" w:space="0" w:color="auto"/>
            </w:tcBorders>
            <w:shd w:val="clear" w:color="auto" w:fill="auto"/>
            <w:noWrap/>
            <w:vAlign w:val="center"/>
            <w:hideMark/>
          </w:tcPr>
          <w:p w14:paraId="19A2017E"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27.93853</w:t>
            </w:r>
            <w:r w:rsidRPr="00F2472E">
              <w:rPr>
                <w:rFonts w:eastAsia="Times New Roman" w:cs="Times New Roman"/>
                <w:color w:val="000000"/>
                <w:sz w:val="20"/>
                <w:szCs w:val="20"/>
                <w:vertAlign w:val="superscript"/>
              </w:rPr>
              <w:t>a</w:t>
            </w:r>
          </w:p>
        </w:tc>
      </w:tr>
      <w:tr w:rsidR="00F2472E" w:rsidRPr="00F2472E" w14:paraId="3CD35FC3" w14:textId="77777777" w:rsidTr="00F2472E">
        <w:trPr>
          <w:trHeight w:val="315"/>
        </w:trPr>
        <w:tc>
          <w:tcPr>
            <w:tcW w:w="455" w:type="pct"/>
            <w:shd w:val="clear" w:color="auto" w:fill="auto"/>
            <w:noWrap/>
            <w:vAlign w:val="center"/>
            <w:hideMark/>
          </w:tcPr>
          <w:p w14:paraId="230CEB5A"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r≤1</w:t>
            </w:r>
          </w:p>
        </w:tc>
        <w:tc>
          <w:tcPr>
            <w:tcW w:w="1718" w:type="pct"/>
            <w:shd w:val="clear" w:color="auto" w:fill="auto"/>
            <w:noWrap/>
            <w:vAlign w:val="center"/>
            <w:hideMark/>
          </w:tcPr>
          <w:p w14:paraId="41AD93AB"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r&gt;1</w:t>
            </w:r>
          </w:p>
        </w:tc>
        <w:tc>
          <w:tcPr>
            <w:tcW w:w="297" w:type="pct"/>
            <w:shd w:val="clear" w:color="auto" w:fill="auto"/>
            <w:noWrap/>
            <w:vAlign w:val="center"/>
            <w:hideMark/>
          </w:tcPr>
          <w:p w14:paraId="3B06D4E6"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shd w:val="clear" w:color="auto" w:fill="auto"/>
            <w:noWrap/>
            <w:vAlign w:val="center"/>
            <w:hideMark/>
          </w:tcPr>
          <w:p w14:paraId="102243DD"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16.73433</w:t>
            </w:r>
          </w:p>
        </w:tc>
        <w:tc>
          <w:tcPr>
            <w:tcW w:w="1442" w:type="pct"/>
            <w:shd w:val="clear" w:color="auto" w:fill="auto"/>
            <w:noWrap/>
            <w:vAlign w:val="center"/>
            <w:hideMark/>
          </w:tcPr>
          <w:p w14:paraId="0D9233A1"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11.45762</w:t>
            </w:r>
          </w:p>
        </w:tc>
      </w:tr>
      <w:tr w:rsidR="00F2472E" w:rsidRPr="00F2472E" w14:paraId="31E2A467" w14:textId="77777777" w:rsidTr="00F2472E">
        <w:trPr>
          <w:trHeight w:val="315"/>
        </w:trPr>
        <w:tc>
          <w:tcPr>
            <w:tcW w:w="455" w:type="pct"/>
            <w:shd w:val="clear" w:color="auto" w:fill="auto"/>
            <w:noWrap/>
            <w:vAlign w:val="center"/>
            <w:hideMark/>
          </w:tcPr>
          <w:p w14:paraId="140D7F21"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r≤2</w:t>
            </w:r>
          </w:p>
        </w:tc>
        <w:tc>
          <w:tcPr>
            <w:tcW w:w="1718" w:type="pct"/>
            <w:shd w:val="clear" w:color="auto" w:fill="auto"/>
            <w:noWrap/>
            <w:vAlign w:val="center"/>
            <w:hideMark/>
          </w:tcPr>
          <w:p w14:paraId="64D2CCCF"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r&gt;2</w:t>
            </w:r>
          </w:p>
        </w:tc>
        <w:tc>
          <w:tcPr>
            <w:tcW w:w="297" w:type="pct"/>
            <w:shd w:val="clear" w:color="auto" w:fill="auto"/>
            <w:noWrap/>
            <w:vAlign w:val="center"/>
            <w:hideMark/>
          </w:tcPr>
          <w:p w14:paraId="06080768"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shd w:val="clear" w:color="auto" w:fill="auto"/>
            <w:noWrap/>
            <w:vAlign w:val="center"/>
            <w:hideMark/>
          </w:tcPr>
          <w:p w14:paraId="7D10CAF6"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5.27671</w:t>
            </w:r>
          </w:p>
        </w:tc>
        <w:tc>
          <w:tcPr>
            <w:tcW w:w="1442" w:type="pct"/>
            <w:shd w:val="clear" w:color="auto" w:fill="auto"/>
            <w:noWrap/>
            <w:vAlign w:val="center"/>
            <w:hideMark/>
          </w:tcPr>
          <w:p w14:paraId="084749B0"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5.141664</w:t>
            </w:r>
          </w:p>
        </w:tc>
      </w:tr>
      <w:tr w:rsidR="00F2472E" w:rsidRPr="00F2472E" w14:paraId="079825E1" w14:textId="77777777" w:rsidTr="00184446">
        <w:trPr>
          <w:trHeight w:val="315"/>
        </w:trPr>
        <w:tc>
          <w:tcPr>
            <w:tcW w:w="455" w:type="pct"/>
            <w:tcBorders>
              <w:bottom w:val="single" w:sz="4" w:space="0" w:color="auto"/>
            </w:tcBorders>
            <w:shd w:val="clear" w:color="auto" w:fill="auto"/>
            <w:noWrap/>
            <w:vAlign w:val="center"/>
            <w:hideMark/>
          </w:tcPr>
          <w:p w14:paraId="5EC9D77C"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r≤3</w:t>
            </w:r>
          </w:p>
        </w:tc>
        <w:tc>
          <w:tcPr>
            <w:tcW w:w="1718" w:type="pct"/>
            <w:tcBorders>
              <w:bottom w:val="single" w:sz="4" w:space="0" w:color="auto"/>
            </w:tcBorders>
            <w:shd w:val="clear" w:color="auto" w:fill="auto"/>
            <w:noWrap/>
            <w:vAlign w:val="center"/>
            <w:hideMark/>
          </w:tcPr>
          <w:p w14:paraId="005CA89C"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r&gt;3 </w:t>
            </w:r>
          </w:p>
        </w:tc>
        <w:tc>
          <w:tcPr>
            <w:tcW w:w="297" w:type="pct"/>
            <w:tcBorders>
              <w:bottom w:val="single" w:sz="4" w:space="0" w:color="auto"/>
            </w:tcBorders>
            <w:shd w:val="clear" w:color="auto" w:fill="auto"/>
            <w:noWrap/>
            <w:vAlign w:val="center"/>
            <w:hideMark/>
          </w:tcPr>
          <w:p w14:paraId="7DBD261C"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tcBorders>
              <w:bottom w:val="single" w:sz="4" w:space="0" w:color="auto"/>
            </w:tcBorders>
            <w:shd w:val="clear" w:color="auto" w:fill="auto"/>
            <w:noWrap/>
            <w:vAlign w:val="center"/>
            <w:hideMark/>
          </w:tcPr>
          <w:p w14:paraId="3CFEEA5A" w14:textId="40D96997" w:rsidR="00DD7712" w:rsidRPr="00F2472E" w:rsidRDefault="007C4F53" w:rsidP="009E6088">
            <w:pPr>
              <w:spacing w:after="0" w:line="240" w:lineRule="auto"/>
              <w:jc w:val="both"/>
              <w:rPr>
                <w:rFonts w:eastAsia="Times New Roman" w:cs="Times New Roman"/>
                <w:color w:val="000000"/>
                <w:sz w:val="20"/>
                <w:szCs w:val="20"/>
              </w:rPr>
            </w:pPr>
            <w:r>
              <w:rPr>
                <w:rFonts w:eastAsia="Times New Roman" w:cs="Times New Roman"/>
                <w:color w:val="000000"/>
                <w:sz w:val="20"/>
                <w:szCs w:val="20"/>
              </w:rPr>
              <w:t>0.135046</w:t>
            </w:r>
          </w:p>
        </w:tc>
        <w:tc>
          <w:tcPr>
            <w:tcW w:w="1442" w:type="pct"/>
            <w:tcBorders>
              <w:bottom w:val="single" w:sz="4" w:space="0" w:color="auto"/>
            </w:tcBorders>
            <w:shd w:val="clear" w:color="auto" w:fill="auto"/>
            <w:noWrap/>
            <w:vAlign w:val="center"/>
            <w:hideMark/>
          </w:tcPr>
          <w:p w14:paraId="1A714CB3" w14:textId="2036B048"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0.135046</w:t>
            </w:r>
          </w:p>
        </w:tc>
      </w:tr>
      <w:tr w:rsidR="00184446" w:rsidRPr="00F2472E" w14:paraId="5C55FC5C" w14:textId="77777777" w:rsidTr="00184446">
        <w:trPr>
          <w:trHeight w:val="332"/>
        </w:trPr>
        <w:tc>
          <w:tcPr>
            <w:tcW w:w="5000" w:type="pct"/>
            <w:gridSpan w:val="5"/>
            <w:tcBorders>
              <w:top w:val="single" w:sz="4" w:space="0" w:color="auto"/>
              <w:bottom w:val="single" w:sz="4" w:space="0" w:color="auto"/>
            </w:tcBorders>
            <w:shd w:val="clear" w:color="auto" w:fill="auto"/>
            <w:noWrap/>
            <w:vAlign w:val="center"/>
            <w:hideMark/>
          </w:tcPr>
          <w:p w14:paraId="67D7C964" w14:textId="778C6720" w:rsidR="00184446" w:rsidRPr="00F2472E" w:rsidRDefault="00184446" w:rsidP="009E6088">
            <w:pPr>
              <w:spacing w:after="0" w:line="240" w:lineRule="auto"/>
              <w:jc w:val="center"/>
              <w:rPr>
                <w:rFonts w:eastAsia="Times New Roman" w:cs="Times New Roman"/>
                <w:color w:val="000000"/>
                <w:sz w:val="20"/>
                <w:szCs w:val="20"/>
              </w:rPr>
            </w:pPr>
            <w:r w:rsidRPr="00F2472E">
              <w:rPr>
                <w:rFonts w:eastAsia="Times New Roman" w:cs="Times New Roman"/>
                <w:color w:val="000000"/>
                <w:sz w:val="20"/>
                <w:szCs w:val="20"/>
              </w:rPr>
              <w:t>Vector: [JN, PK, IND, CN]</w:t>
            </w:r>
          </w:p>
        </w:tc>
      </w:tr>
      <w:tr w:rsidR="00F2472E" w:rsidRPr="00F2472E" w14:paraId="3E7D788A" w14:textId="77777777" w:rsidTr="00184446">
        <w:trPr>
          <w:trHeight w:val="315"/>
        </w:trPr>
        <w:tc>
          <w:tcPr>
            <w:tcW w:w="455" w:type="pct"/>
            <w:tcBorders>
              <w:top w:val="single" w:sz="4" w:space="0" w:color="auto"/>
              <w:bottom w:val="single" w:sz="4" w:space="0" w:color="auto"/>
            </w:tcBorders>
            <w:shd w:val="clear" w:color="auto" w:fill="auto"/>
            <w:noWrap/>
            <w:vAlign w:val="center"/>
            <w:hideMark/>
          </w:tcPr>
          <w:p w14:paraId="483DA9DE"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Null</w:t>
            </w:r>
          </w:p>
        </w:tc>
        <w:tc>
          <w:tcPr>
            <w:tcW w:w="1718" w:type="pct"/>
            <w:tcBorders>
              <w:top w:val="single" w:sz="4" w:space="0" w:color="auto"/>
              <w:bottom w:val="single" w:sz="4" w:space="0" w:color="auto"/>
            </w:tcBorders>
            <w:shd w:val="clear" w:color="auto" w:fill="auto"/>
            <w:noWrap/>
            <w:vAlign w:val="center"/>
            <w:hideMark/>
          </w:tcPr>
          <w:p w14:paraId="00AA8AE9"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Alternate</w:t>
            </w:r>
          </w:p>
        </w:tc>
        <w:tc>
          <w:tcPr>
            <w:tcW w:w="297" w:type="pct"/>
            <w:tcBorders>
              <w:top w:val="single" w:sz="4" w:space="0" w:color="auto"/>
              <w:bottom w:val="single" w:sz="4" w:space="0" w:color="auto"/>
            </w:tcBorders>
            <w:shd w:val="clear" w:color="auto" w:fill="auto"/>
            <w:noWrap/>
            <w:vAlign w:val="center"/>
            <w:hideMark/>
          </w:tcPr>
          <w:p w14:paraId="299FB748" w14:textId="605D2957" w:rsidR="00DD7712" w:rsidRPr="00F2472E" w:rsidRDefault="00DD7712" w:rsidP="009E6088">
            <w:pPr>
              <w:spacing w:after="0" w:line="240" w:lineRule="auto"/>
              <w:jc w:val="both"/>
              <w:rPr>
                <w:rFonts w:eastAsia="Times New Roman" w:cs="Times New Roman"/>
                <w:color w:val="000000"/>
                <w:sz w:val="20"/>
                <w:szCs w:val="20"/>
              </w:rPr>
            </w:pPr>
          </w:p>
        </w:tc>
        <w:tc>
          <w:tcPr>
            <w:tcW w:w="1087" w:type="pct"/>
            <w:tcBorders>
              <w:top w:val="single" w:sz="4" w:space="0" w:color="auto"/>
              <w:bottom w:val="single" w:sz="4" w:space="0" w:color="auto"/>
            </w:tcBorders>
            <w:shd w:val="clear" w:color="auto" w:fill="auto"/>
            <w:noWrap/>
            <w:vAlign w:val="center"/>
            <w:hideMark/>
          </w:tcPr>
          <w:p w14:paraId="6F470631"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Trace Statistic</w:t>
            </w:r>
          </w:p>
        </w:tc>
        <w:tc>
          <w:tcPr>
            <w:tcW w:w="1442" w:type="pct"/>
            <w:tcBorders>
              <w:top w:val="single" w:sz="4" w:space="0" w:color="auto"/>
              <w:bottom w:val="single" w:sz="4" w:space="0" w:color="auto"/>
            </w:tcBorders>
            <w:shd w:val="clear" w:color="auto" w:fill="auto"/>
            <w:noWrap/>
            <w:vAlign w:val="center"/>
            <w:hideMark/>
          </w:tcPr>
          <w:p w14:paraId="12C5849F"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Max-Eigen Statistic</w:t>
            </w:r>
          </w:p>
        </w:tc>
      </w:tr>
      <w:tr w:rsidR="00F2472E" w:rsidRPr="00F2472E" w14:paraId="2D3DE122" w14:textId="77777777" w:rsidTr="00184446">
        <w:trPr>
          <w:trHeight w:val="360"/>
        </w:trPr>
        <w:tc>
          <w:tcPr>
            <w:tcW w:w="455" w:type="pct"/>
            <w:tcBorders>
              <w:top w:val="single" w:sz="4" w:space="0" w:color="auto"/>
            </w:tcBorders>
            <w:shd w:val="clear" w:color="auto" w:fill="auto"/>
            <w:noWrap/>
            <w:vAlign w:val="center"/>
            <w:hideMark/>
          </w:tcPr>
          <w:p w14:paraId="0F32826C"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r=0</w:t>
            </w:r>
          </w:p>
        </w:tc>
        <w:tc>
          <w:tcPr>
            <w:tcW w:w="1718" w:type="pct"/>
            <w:tcBorders>
              <w:top w:val="single" w:sz="4" w:space="0" w:color="auto"/>
            </w:tcBorders>
            <w:shd w:val="clear" w:color="auto" w:fill="auto"/>
            <w:noWrap/>
            <w:vAlign w:val="center"/>
            <w:hideMark/>
          </w:tcPr>
          <w:p w14:paraId="1FC219DD"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r&gt;0</w:t>
            </w:r>
          </w:p>
        </w:tc>
        <w:tc>
          <w:tcPr>
            <w:tcW w:w="297" w:type="pct"/>
            <w:tcBorders>
              <w:top w:val="single" w:sz="4" w:space="0" w:color="auto"/>
            </w:tcBorders>
            <w:shd w:val="clear" w:color="auto" w:fill="auto"/>
            <w:noWrap/>
            <w:vAlign w:val="center"/>
            <w:hideMark/>
          </w:tcPr>
          <w:p w14:paraId="746708B3" w14:textId="7107CC0A" w:rsidR="00DD7712" w:rsidRPr="00F2472E" w:rsidRDefault="00DD7712" w:rsidP="009E6088">
            <w:pPr>
              <w:spacing w:after="0" w:line="240" w:lineRule="auto"/>
              <w:jc w:val="both"/>
              <w:rPr>
                <w:rFonts w:eastAsia="Times New Roman" w:cs="Times New Roman"/>
                <w:color w:val="000000"/>
                <w:sz w:val="20"/>
                <w:szCs w:val="20"/>
              </w:rPr>
            </w:pPr>
          </w:p>
        </w:tc>
        <w:tc>
          <w:tcPr>
            <w:tcW w:w="1087" w:type="pct"/>
            <w:tcBorders>
              <w:top w:val="single" w:sz="4" w:space="0" w:color="auto"/>
            </w:tcBorders>
            <w:shd w:val="clear" w:color="auto" w:fill="auto"/>
            <w:noWrap/>
            <w:vAlign w:val="center"/>
            <w:hideMark/>
          </w:tcPr>
          <w:p w14:paraId="2FC5BDEE"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48.66066</w:t>
            </w:r>
            <w:r w:rsidRPr="00F2472E">
              <w:rPr>
                <w:rFonts w:eastAsia="Times New Roman" w:cs="Times New Roman"/>
                <w:color w:val="000000"/>
                <w:sz w:val="20"/>
                <w:szCs w:val="20"/>
                <w:vertAlign w:val="superscript"/>
              </w:rPr>
              <w:t>a</w:t>
            </w:r>
          </w:p>
        </w:tc>
        <w:tc>
          <w:tcPr>
            <w:tcW w:w="1442" w:type="pct"/>
            <w:tcBorders>
              <w:top w:val="single" w:sz="4" w:space="0" w:color="auto"/>
            </w:tcBorders>
            <w:shd w:val="clear" w:color="auto" w:fill="auto"/>
            <w:noWrap/>
            <w:vAlign w:val="center"/>
            <w:hideMark/>
          </w:tcPr>
          <w:p w14:paraId="50141386"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29.25467</w:t>
            </w:r>
            <w:r w:rsidRPr="00F2472E">
              <w:rPr>
                <w:rFonts w:eastAsia="Times New Roman" w:cs="Times New Roman"/>
                <w:color w:val="000000"/>
                <w:sz w:val="20"/>
                <w:szCs w:val="20"/>
                <w:vertAlign w:val="superscript"/>
              </w:rPr>
              <w:t>a</w:t>
            </w:r>
          </w:p>
        </w:tc>
      </w:tr>
      <w:tr w:rsidR="00F2472E" w:rsidRPr="00F2472E" w14:paraId="44024A2D" w14:textId="77777777" w:rsidTr="00F2472E">
        <w:trPr>
          <w:trHeight w:val="315"/>
        </w:trPr>
        <w:tc>
          <w:tcPr>
            <w:tcW w:w="455" w:type="pct"/>
            <w:shd w:val="clear" w:color="auto" w:fill="auto"/>
            <w:noWrap/>
            <w:vAlign w:val="center"/>
            <w:hideMark/>
          </w:tcPr>
          <w:p w14:paraId="39F2ACF2"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r≤1</w:t>
            </w:r>
          </w:p>
        </w:tc>
        <w:tc>
          <w:tcPr>
            <w:tcW w:w="1718" w:type="pct"/>
            <w:shd w:val="clear" w:color="auto" w:fill="auto"/>
            <w:noWrap/>
            <w:vAlign w:val="center"/>
            <w:hideMark/>
          </w:tcPr>
          <w:p w14:paraId="2DE1805B"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r&gt;1</w:t>
            </w:r>
          </w:p>
        </w:tc>
        <w:tc>
          <w:tcPr>
            <w:tcW w:w="297" w:type="pct"/>
            <w:shd w:val="clear" w:color="auto" w:fill="auto"/>
            <w:noWrap/>
            <w:vAlign w:val="center"/>
            <w:hideMark/>
          </w:tcPr>
          <w:p w14:paraId="3F05DEA1" w14:textId="532B88E1" w:rsidR="00DD7712" w:rsidRPr="00F2472E" w:rsidRDefault="00DD7712" w:rsidP="009E6088">
            <w:pPr>
              <w:spacing w:after="0" w:line="240" w:lineRule="auto"/>
              <w:jc w:val="both"/>
              <w:rPr>
                <w:rFonts w:eastAsia="Times New Roman" w:cs="Times New Roman"/>
                <w:color w:val="000000"/>
                <w:sz w:val="20"/>
                <w:szCs w:val="20"/>
              </w:rPr>
            </w:pPr>
          </w:p>
        </w:tc>
        <w:tc>
          <w:tcPr>
            <w:tcW w:w="1087" w:type="pct"/>
            <w:shd w:val="clear" w:color="auto" w:fill="auto"/>
            <w:noWrap/>
            <w:vAlign w:val="center"/>
            <w:hideMark/>
          </w:tcPr>
          <w:p w14:paraId="5F3A8979"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19.406</w:t>
            </w:r>
          </w:p>
        </w:tc>
        <w:tc>
          <w:tcPr>
            <w:tcW w:w="1442" w:type="pct"/>
            <w:shd w:val="clear" w:color="auto" w:fill="auto"/>
            <w:noWrap/>
            <w:vAlign w:val="center"/>
            <w:hideMark/>
          </w:tcPr>
          <w:p w14:paraId="63B8CFA1"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13.03735</w:t>
            </w:r>
          </w:p>
        </w:tc>
      </w:tr>
      <w:tr w:rsidR="00F2472E" w:rsidRPr="00F2472E" w14:paraId="2BB6B0EB" w14:textId="77777777" w:rsidTr="00F2472E">
        <w:trPr>
          <w:trHeight w:val="315"/>
        </w:trPr>
        <w:tc>
          <w:tcPr>
            <w:tcW w:w="455" w:type="pct"/>
            <w:shd w:val="clear" w:color="auto" w:fill="auto"/>
            <w:noWrap/>
            <w:vAlign w:val="center"/>
            <w:hideMark/>
          </w:tcPr>
          <w:p w14:paraId="26E46F66"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r≤2</w:t>
            </w:r>
          </w:p>
        </w:tc>
        <w:tc>
          <w:tcPr>
            <w:tcW w:w="1718" w:type="pct"/>
            <w:shd w:val="clear" w:color="auto" w:fill="auto"/>
            <w:noWrap/>
            <w:vAlign w:val="center"/>
            <w:hideMark/>
          </w:tcPr>
          <w:p w14:paraId="249267BC"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r&gt;2</w:t>
            </w:r>
          </w:p>
        </w:tc>
        <w:tc>
          <w:tcPr>
            <w:tcW w:w="297" w:type="pct"/>
            <w:shd w:val="clear" w:color="auto" w:fill="auto"/>
            <w:noWrap/>
            <w:vAlign w:val="center"/>
            <w:hideMark/>
          </w:tcPr>
          <w:p w14:paraId="1FA25C4F" w14:textId="482EF348" w:rsidR="00DD7712" w:rsidRPr="00F2472E" w:rsidRDefault="00DD7712" w:rsidP="009E6088">
            <w:pPr>
              <w:spacing w:after="0" w:line="240" w:lineRule="auto"/>
              <w:jc w:val="both"/>
              <w:rPr>
                <w:rFonts w:eastAsia="Times New Roman" w:cs="Times New Roman"/>
                <w:color w:val="000000"/>
                <w:sz w:val="20"/>
                <w:szCs w:val="20"/>
              </w:rPr>
            </w:pPr>
          </w:p>
        </w:tc>
        <w:tc>
          <w:tcPr>
            <w:tcW w:w="1087" w:type="pct"/>
            <w:shd w:val="clear" w:color="auto" w:fill="auto"/>
            <w:noWrap/>
            <w:vAlign w:val="center"/>
            <w:hideMark/>
          </w:tcPr>
          <w:p w14:paraId="32BC0157"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6.368651</w:t>
            </w:r>
          </w:p>
        </w:tc>
        <w:tc>
          <w:tcPr>
            <w:tcW w:w="1442" w:type="pct"/>
            <w:shd w:val="clear" w:color="auto" w:fill="auto"/>
            <w:noWrap/>
            <w:vAlign w:val="center"/>
            <w:hideMark/>
          </w:tcPr>
          <w:p w14:paraId="718C3ABF"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5.637163</w:t>
            </w:r>
          </w:p>
        </w:tc>
      </w:tr>
      <w:tr w:rsidR="00F2472E" w:rsidRPr="00F2472E" w14:paraId="3579D46A" w14:textId="77777777" w:rsidTr="00184446">
        <w:trPr>
          <w:trHeight w:val="315"/>
        </w:trPr>
        <w:tc>
          <w:tcPr>
            <w:tcW w:w="455" w:type="pct"/>
            <w:tcBorders>
              <w:bottom w:val="single" w:sz="4" w:space="0" w:color="auto"/>
            </w:tcBorders>
            <w:shd w:val="clear" w:color="auto" w:fill="auto"/>
            <w:noWrap/>
            <w:vAlign w:val="center"/>
            <w:hideMark/>
          </w:tcPr>
          <w:p w14:paraId="1AADE0D8"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r≤3</w:t>
            </w:r>
          </w:p>
        </w:tc>
        <w:tc>
          <w:tcPr>
            <w:tcW w:w="1718" w:type="pct"/>
            <w:tcBorders>
              <w:bottom w:val="single" w:sz="4" w:space="0" w:color="auto"/>
            </w:tcBorders>
            <w:shd w:val="clear" w:color="auto" w:fill="auto"/>
            <w:noWrap/>
            <w:vAlign w:val="center"/>
            <w:hideMark/>
          </w:tcPr>
          <w:p w14:paraId="1B977E29"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r&gt;3 </w:t>
            </w:r>
          </w:p>
        </w:tc>
        <w:tc>
          <w:tcPr>
            <w:tcW w:w="297" w:type="pct"/>
            <w:tcBorders>
              <w:bottom w:val="single" w:sz="4" w:space="0" w:color="auto"/>
            </w:tcBorders>
            <w:shd w:val="clear" w:color="auto" w:fill="auto"/>
            <w:noWrap/>
            <w:vAlign w:val="center"/>
            <w:hideMark/>
          </w:tcPr>
          <w:p w14:paraId="1DCFAD82" w14:textId="4C37FF4D" w:rsidR="00DD7712" w:rsidRPr="00F2472E" w:rsidRDefault="00DD7712" w:rsidP="009E6088">
            <w:pPr>
              <w:spacing w:after="0" w:line="240" w:lineRule="auto"/>
              <w:jc w:val="both"/>
              <w:rPr>
                <w:rFonts w:eastAsia="Times New Roman" w:cs="Times New Roman"/>
                <w:color w:val="000000"/>
                <w:sz w:val="20"/>
                <w:szCs w:val="20"/>
              </w:rPr>
            </w:pPr>
          </w:p>
        </w:tc>
        <w:tc>
          <w:tcPr>
            <w:tcW w:w="1087" w:type="pct"/>
            <w:tcBorders>
              <w:bottom w:val="single" w:sz="4" w:space="0" w:color="auto"/>
            </w:tcBorders>
            <w:shd w:val="clear" w:color="auto" w:fill="auto"/>
            <w:noWrap/>
            <w:vAlign w:val="center"/>
            <w:hideMark/>
          </w:tcPr>
          <w:p w14:paraId="43401A0F"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0.731488</w:t>
            </w:r>
          </w:p>
        </w:tc>
        <w:tc>
          <w:tcPr>
            <w:tcW w:w="1442" w:type="pct"/>
            <w:tcBorders>
              <w:bottom w:val="single" w:sz="4" w:space="0" w:color="auto"/>
            </w:tcBorders>
            <w:shd w:val="clear" w:color="auto" w:fill="auto"/>
            <w:noWrap/>
            <w:vAlign w:val="center"/>
            <w:hideMark/>
          </w:tcPr>
          <w:p w14:paraId="0D349662"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0.731488</w:t>
            </w:r>
          </w:p>
        </w:tc>
      </w:tr>
      <w:tr w:rsidR="00184446" w:rsidRPr="00F2472E" w14:paraId="7EB5EEAA" w14:textId="77777777" w:rsidTr="00184446">
        <w:trPr>
          <w:trHeight w:val="315"/>
        </w:trPr>
        <w:tc>
          <w:tcPr>
            <w:tcW w:w="5000" w:type="pct"/>
            <w:gridSpan w:val="5"/>
            <w:tcBorders>
              <w:top w:val="single" w:sz="4" w:space="0" w:color="auto"/>
              <w:bottom w:val="nil"/>
            </w:tcBorders>
            <w:shd w:val="clear" w:color="auto" w:fill="auto"/>
            <w:noWrap/>
            <w:vAlign w:val="center"/>
            <w:hideMark/>
          </w:tcPr>
          <w:p w14:paraId="5F814EB9" w14:textId="66942FEB" w:rsidR="00184446" w:rsidRPr="00F2472E" w:rsidRDefault="00184446" w:rsidP="009E6088">
            <w:pPr>
              <w:spacing w:after="0" w:line="240" w:lineRule="auto"/>
              <w:jc w:val="center"/>
              <w:rPr>
                <w:rFonts w:eastAsia="Times New Roman" w:cs="Times New Roman"/>
                <w:color w:val="000000"/>
                <w:sz w:val="20"/>
                <w:szCs w:val="20"/>
              </w:rPr>
            </w:pPr>
            <w:r w:rsidRPr="00F2472E">
              <w:rPr>
                <w:rFonts w:eastAsia="Times New Roman" w:cs="Times New Roman"/>
                <w:color w:val="000000"/>
                <w:sz w:val="20"/>
                <w:szCs w:val="20"/>
              </w:rPr>
              <w:t>Vector: [GER, PK, IND, CN]</w:t>
            </w:r>
          </w:p>
        </w:tc>
      </w:tr>
      <w:tr w:rsidR="00F2472E" w:rsidRPr="00F2472E" w14:paraId="3DA69201" w14:textId="77777777" w:rsidTr="00184446">
        <w:trPr>
          <w:trHeight w:val="315"/>
        </w:trPr>
        <w:tc>
          <w:tcPr>
            <w:tcW w:w="455" w:type="pct"/>
            <w:tcBorders>
              <w:top w:val="nil"/>
              <w:bottom w:val="single" w:sz="4" w:space="0" w:color="auto"/>
            </w:tcBorders>
            <w:shd w:val="clear" w:color="auto" w:fill="auto"/>
            <w:noWrap/>
            <w:vAlign w:val="center"/>
            <w:hideMark/>
          </w:tcPr>
          <w:p w14:paraId="19C4EB9B"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Null</w:t>
            </w:r>
          </w:p>
        </w:tc>
        <w:tc>
          <w:tcPr>
            <w:tcW w:w="1718" w:type="pct"/>
            <w:tcBorders>
              <w:top w:val="nil"/>
              <w:bottom w:val="single" w:sz="4" w:space="0" w:color="auto"/>
            </w:tcBorders>
            <w:shd w:val="clear" w:color="auto" w:fill="auto"/>
            <w:noWrap/>
            <w:vAlign w:val="center"/>
            <w:hideMark/>
          </w:tcPr>
          <w:p w14:paraId="328F67D6"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Alternate</w:t>
            </w:r>
          </w:p>
        </w:tc>
        <w:tc>
          <w:tcPr>
            <w:tcW w:w="297" w:type="pct"/>
            <w:tcBorders>
              <w:top w:val="nil"/>
              <w:bottom w:val="single" w:sz="4" w:space="0" w:color="auto"/>
            </w:tcBorders>
            <w:shd w:val="clear" w:color="auto" w:fill="auto"/>
            <w:noWrap/>
            <w:vAlign w:val="center"/>
            <w:hideMark/>
          </w:tcPr>
          <w:p w14:paraId="428F3E01" w14:textId="1CE006B6" w:rsidR="00DD7712" w:rsidRPr="00F2472E" w:rsidRDefault="00DD7712" w:rsidP="009E6088">
            <w:pPr>
              <w:spacing w:after="0" w:line="240" w:lineRule="auto"/>
              <w:jc w:val="both"/>
              <w:rPr>
                <w:rFonts w:eastAsia="Times New Roman" w:cs="Times New Roman"/>
                <w:color w:val="000000"/>
                <w:sz w:val="20"/>
                <w:szCs w:val="20"/>
              </w:rPr>
            </w:pPr>
          </w:p>
        </w:tc>
        <w:tc>
          <w:tcPr>
            <w:tcW w:w="1087" w:type="pct"/>
            <w:tcBorders>
              <w:top w:val="nil"/>
              <w:bottom w:val="single" w:sz="4" w:space="0" w:color="auto"/>
            </w:tcBorders>
            <w:shd w:val="clear" w:color="auto" w:fill="auto"/>
            <w:noWrap/>
            <w:vAlign w:val="center"/>
            <w:hideMark/>
          </w:tcPr>
          <w:p w14:paraId="0C4A8E39"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Trace Statistic</w:t>
            </w:r>
          </w:p>
        </w:tc>
        <w:tc>
          <w:tcPr>
            <w:tcW w:w="1442" w:type="pct"/>
            <w:tcBorders>
              <w:top w:val="nil"/>
              <w:bottom w:val="single" w:sz="4" w:space="0" w:color="auto"/>
            </w:tcBorders>
            <w:shd w:val="clear" w:color="auto" w:fill="auto"/>
            <w:noWrap/>
            <w:vAlign w:val="center"/>
            <w:hideMark/>
          </w:tcPr>
          <w:p w14:paraId="233EDCBA"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Max-Eigen Statistic</w:t>
            </w:r>
          </w:p>
        </w:tc>
      </w:tr>
      <w:tr w:rsidR="00F2472E" w:rsidRPr="00F2472E" w14:paraId="0C35BACF" w14:textId="77777777" w:rsidTr="00184446">
        <w:trPr>
          <w:trHeight w:val="360"/>
        </w:trPr>
        <w:tc>
          <w:tcPr>
            <w:tcW w:w="455" w:type="pct"/>
            <w:tcBorders>
              <w:top w:val="single" w:sz="4" w:space="0" w:color="auto"/>
            </w:tcBorders>
            <w:shd w:val="clear" w:color="auto" w:fill="auto"/>
            <w:noWrap/>
            <w:vAlign w:val="center"/>
            <w:hideMark/>
          </w:tcPr>
          <w:p w14:paraId="6A4B32EF"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r=0</w:t>
            </w:r>
          </w:p>
        </w:tc>
        <w:tc>
          <w:tcPr>
            <w:tcW w:w="1718" w:type="pct"/>
            <w:tcBorders>
              <w:top w:val="single" w:sz="4" w:space="0" w:color="auto"/>
            </w:tcBorders>
            <w:shd w:val="clear" w:color="auto" w:fill="auto"/>
            <w:noWrap/>
            <w:vAlign w:val="center"/>
            <w:hideMark/>
          </w:tcPr>
          <w:p w14:paraId="61EDE5D2"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r&gt;0</w:t>
            </w:r>
          </w:p>
        </w:tc>
        <w:tc>
          <w:tcPr>
            <w:tcW w:w="297" w:type="pct"/>
            <w:tcBorders>
              <w:top w:val="single" w:sz="4" w:space="0" w:color="auto"/>
            </w:tcBorders>
            <w:shd w:val="clear" w:color="auto" w:fill="auto"/>
            <w:noWrap/>
            <w:vAlign w:val="center"/>
            <w:hideMark/>
          </w:tcPr>
          <w:p w14:paraId="7E9691CF"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tcBorders>
              <w:top w:val="single" w:sz="4" w:space="0" w:color="auto"/>
            </w:tcBorders>
            <w:shd w:val="clear" w:color="auto" w:fill="auto"/>
            <w:noWrap/>
            <w:vAlign w:val="center"/>
            <w:hideMark/>
          </w:tcPr>
          <w:p w14:paraId="7164C14F"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55.17942</w:t>
            </w:r>
            <w:r w:rsidRPr="00F2472E">
              <w:rPr>
                <w:rFonts w:eastAsia="Times New Roman" w:cs="Times New Roman"/>
                <w:color w:val="000000"/>
                <w:sz w:val="20"/>
                <w:szCs w:val="20"/>
                <w:vertAlign w:val="superscript"/>
              </w:rPr>
              <w:t>a</w:t>
            </w:r>
          </w:p>
        </w:tc>
        <w:tc>
          <w:tcPr>
            <w:tcW w:w="1442" w:type="pct"/>
            <w:tcBorders>
              <w:top w:val="single" w:sz="4" w:space="0" w:color="auto"/>
            </w:tcBorders>
            <w:shd w:val="clear" w:color="auto" w:fill="auto"/>
            <w:noWrap/>
            <w:vAlign w:val="center"/>
            <w:hideMark/>
          </w:tcPr>
          <w:p w14:paraId="4158F181"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29.06021</w:t>
            </w:r>
            <w:r w:rsidRPr="00F2472E">
              <w:rPr>
                <w:rFonts w:eastAsia="Times New Roman" w:cs="Times New Roman"/>
                <w:color w:val="000000"/>
                <w:sz w:val="20"/>
                <w:szCs w:val="20"/>
                <w:vertAlign w:val="superscript"/>
              </w:rPr>
              <w:t>a</w:t>
            </w:r>
          </w:p>
        </w:tc>
      </w:tr>
      <w:tr w:rsidR="00F2472E" w:rsidRPr="00F2472E" w14:paraId="351F9AF9" w14:textId="77777777" w:rsidTr="00F2472E">
        <w:trPr>
          <w:trHeight w:val="315"/>
        </w:trPr>
        <w:tc>
          <w:tcPr>
            <w:tcW w:w="455" w:type="pct"/>
            <w:shd w:val="clear" w:color="auto" w:fill="auto"/>
            <w:noWrap/>
            <w:vAlign w:val="center"/>
            <w:hideMark/>
          </w:tcPr>
          <w:p w14:paraId="044C3B9E"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r≤1</w:t>
            </w:r>
          </w:p>
        </w:tc>
        <w:tc>
          <w:tcPr>
            <w:tcW w:w="1718" w:type="pct"/>
            <w:shd w:val="clear" w:color="auto" w:fill="auto"/>
            <w:noWrap/>
            <w:vAlign w:val="center"/>
            <w:hideMark/>
          </w:tcPr>
          <w:p w14:paraId="7B97DA83"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r&gt;1</w:t>
            </w:r>
          </w:p>
        </w:tc>
        <w:tc>
          <w:tcPr>
            <w:tcW w:w="297" w:type="pct"/>
            <w:shd w:val="clear" w:color="auto" w:fill="auto"/>
            <w:noWrap/>
            <w:vAlign w:val="center"/>
            <w:hideMark/>
          </w:tcPr>
          <w:p w14:paraId="0BA6C3B0"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shd w:val="clear" w:color="auto" w:fill="auto"/>
            <w:noWrap/>
            <w:vAlign w:val="center"/>
            <w:hideMark/>
          </w:tcPr>
          <w:p w14:paraId="17ADE03A"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26.11921</w:t>
            </w:r>
          </w:p>
        </w:tc>
        <w:tc>
          <w:tcPr>
            <w:tcW w:w="1442" w:type="pct"/>
            <w:shd w:val="clear" w:color="auto" w:fill="auto"/>
            <w:noWrap/>
            <w:vAlign w:val="center"/>
            <w:hideMark/>
          </w:tcPr>
          <w:p w14:paraId="047FC7C6"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19.79515</w:t>
            </w:r>
          </w:p>
        </w:tc>
      </w:tr>
      <w:tr w:rsidR="00F2472E" w:rsidRPr="00F2472E" w14:paraId="73B48C95" w14:textId="77777777" w:rsidTr="00F2472E">
        <w:trPr>
          <w:trHeight w:val="315"/>
        </w:trPr>
        <w:tc>
          <w:tcPr>
            <w:tcW w:w="455" w:type="pct"/>
            <w:shd w:val="clear" w:color="auto" w:fill="auto"/>
            <w:noWrap/>
            <w:vAlign w:val="center"/>
          </w:tcPr>
          <w:p w14:paraId="18890419"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r≤2</w:t>
            </w:r>
          </w:p>
        </w:tc>
        <w:tc>
          <w:tcPr>
            <w:tcW w:w="1718" w:type="pct"/>
            <w:shd w:val="clear" w:color="auto" w:fill="auto"/>
            <w:noWrap/>
            <w:vAlign w:val="center"/>
          </w:tcPr>
          <w:p w14:paraId="5B6EEB0D"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r&gt;2</w:t>
            </w:r>
          </w:p>
        </w:tc>
        <w:tc>
          <w:tcPr>
            <w:tcW w:w="297" w:type="pct"/>
            <w:shd w:val="clear" w:color="auto" w:fill="auto"/>
            <w:noWrap/>
            <w:vAlign w:val="center"/>
          </w:tcPr>
          <w:p w14:paraId="493C45DC"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 </w:t>
            </w:r>
          </w:p>
        </w:tc>
        <w:tc>
          <w:tcPr>
            <w:tcW w:w="1087" w:type="pct"/>
            <w:shd w:val="clear" w:color="auto" w:fill="auto"/>
            <w:noWrap/>
            <w:vAlign w:val="center"/>
          </w:tcPr>
          <w:p w14:paraId="2850F798"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6.324062</w:t>
            </w:r>
          </w:p>
        </w:tc>
        <w:tc>
          <w:tcPr>
            <w:tcW w:w="1442" w:type="pct"/>
            <w:shd w:val="clear" w:color="auto" w:fill="auto"/>
            <w:noWrap/>
            <w:vAlign w:val="center"/>
          </w:tcPr>
          <w:p w14:paraId="4537408F"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6.024385</w:t>
            </w:r>
          </w:p>
        </w:tc>
      </w:tr>
      <w:tr w:rsidR="00F2472E" w:rsidRPr="00F2472E" w14:paraId="007873CD" w14:textId="77777777" w:rsidTr="00F2472E">
        <w:trPr>
          <w:trHeight w:val="315"/>
        </w:trPr>
        <w:tc>
          <w:tcPr>
            <w:tcW w:w="455" w:type="pct"/>
            <w:shd w:val="clear" w:color="auto" w:fill="auto"/>
            <w:noWrap/>
            <w:vAlign w:val="center"/>
          </w:tcPr>
          <w:p w14:paraId="708219C6"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lastRenderedPageBreak/>
              <w:t>r≤3</w:t>
            </w:r>
          </w:p>
        </w:tc>
        <w:tc>
          <w:tcPr>
            <w:tcW w:w="1718" w:type="pct"/>
            <w:shd w:val="clear" w:color="auto" w:fill="auto"/>
            <w:noWrap/>
            <w:vAlign w:val="center"/>
          </w:tcPr>
          <w:p w14:paraId="4A23C5A1" w14:textId="23F8F409"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r&gt;3</w:t>
            </w:r>
          </w:p>
        </w:tc>
        <w:tc>
          <w:tcPr>
            <w:tcW w:w="297" w:type="pct"/>
            <w:shd w:val="clear" w:color="auto" w:fill="auto"/>
            <w:noWrap/>
            <w:vAlign w:val="center"/>
          </w:tcPr>
          <w:p w14:paraId="59617F56" w14:textId="77777777" w:rsidR="00DD7712" w:rsidRPr="00F2472E" w:rsidRDefault="00DD7712" w:rsidP="009E6088">
            <w:pPr>
              <w:spacing w:after="0" w:line="240" w:lineRule="auto"/>
              <w:jc w:val="both"/>
              <w:rPr>
                <w:rFonts w:eastAsia="Times New Roman" w:cs="Times New Roman"/>
                <w:color w:val="000000"/>
                <w:sz w:val="20"/>
                <w:szCs w:val="20"/>
              </w:rPr>
            </w:pPr>
          </w:p>
        </w:tc>
        <w:tc>
          <w:tcPr>
            <w:tcW w:w="1087" w:type="pct"/>
            <w:shd w:val="clear" w:color="auto" w:fill="auto"/>
            <w:noWrap/>
            <w:vAlign w:val="center"/>
          </w:tcPr>
          <w:p w14:paraId="0C5EFBE2"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0.299677</w:t>
            </w:r>
          </w:p>
        </w:tc>
        <w:tc>
          <w:tcPr>
            <w:tcW w:w="1442" w:type="pct"/>
            <w:shd w:val="clear" w:color="auto" w:fill="auto"/>
            <w:noWrap/>
            <w:vAlign w:val="center"/>
          </w:tcPr>
          <w:p w14:paraId="32F1C752" w14:textId="77777777" w:rsidR="00DD7712" w:rsidRPr="00F2472E" w:rsidRDefault="00DD7712" w:rsidP="009E6088">
            <w:pPr>
              <w:spacing w:after="0" w:line="240" w:lineRule="auto"/>
              <w:jc w:val="both"/>
              <w:rPr>
                <w:rFonts w:eastAsia="Times New Roman" w:cs="Times New Roman"/>
                <w:color w:val="000000"/>
                <w:sz w:val="20"/>
                <w:szCs w:val="20"/>
              </w:rPr>
            </w:pPr>
            <w:r w:rsidRPr="00F2472E">
              <w:rPr>
                <w:rFonts w:eastAsia="Times New Roman" w:cs="Times New Roman"/>
                <w:color w:val="000000"/>
                <w:sz w:val="20"/>
                <w:szCs w:val="20"/>
              </w:rPr>
              <w:t>0.299677</w:t>
            </w:r>
          </w:p>
        </w:tc>
      </w:tr>
    </w:tbl>
    <w:p w14:paraId="27FF3F3D" w14:textId="77777777" w:rsidR="00DD7712" w:rsidRPr="00184446" w:rsidRDefault="00DD7712" w:rsidP="009E6088">
      <w:pPr>
        <w:pStyle w:val="NoSpacing"/>
        <w:rPr>
          <w:rFonts w:ascii="Times New Roman" w:hAnsi="Times New Roman" w:cs="Times New Roman"/>
          <w:sz w:val="20"/>
          <w:szCs w:val="20"/>
        </w:rPr>
      </w:pPr>
      <w:r w:rsidRPr="00184446">
        <w:rPr>
          <w:rFonts w:ascii="Times New Roman" w:hAnsi="Times New Roman" w:cs="Times New Roman"/>
          <w:i/>
          <w:iCs/>
          <w:sz w:val="20"/>
          <w:szCs w:val="20"/>
        </w:rPr>
        <w:t>Source:</w:t>
      </w:r>
      <w:r w:rsidRPr="00184446">
        <w:rPr>
          <w:rFonts w:ascii="Times New Roman" w:hAnsi="Times New Roman" w:cs="Times New Roman"/>
          <w:sz w:val="20"/>
          <w:szCs w:val="20"/>
        </w:rPr>
        <w:t xml:space="preserve"> Authors' estimation</w:t>
      </w:r>
    </w:p>
    <w:p w14:paraId="5ADB4088" w14:textId="77777777" w:rsidR="00F40C2D" w:rsidRDefault="00F40C2D" w:rsidP="009E6088">
      <w:pPr>
        <w:pStyle w:val="NoSpacing"/>
        <w:rPr>
          <w:rFonts w:ascii="Times New Roman" w:hAnsi="Times New Roman" w:cs="Times New Roman"/>
          <w:b/>
          <w:sz w:val="24"/>
          <w:szCs w:val="24"/>
        </w:rPr>
      </w:pPr>
    </w:p>
    <w:p w14:paraId="3329FEB8" w14:textId="77777777" w:rsidR="0081363B" w:rsidRDefault="00DD7712" w:rsidP="009E6088">
      <w:pPr>
        <w:pStyle w:val="NoSpacing"/>
        <w:rPr>
          <w:rFonts w:ascii="Times New Roman" w:eastAsia="Times New Roman" w:hAnsi="Times New Roman" w:cs="Times New Roman"/>
          <w:b/>
          <w:sz w:val="20"/>
          <w:szCs w:val="20"/>
        </w:rPr>
      </w:pPr>
      <w:r w:rsidRPr="0081363B">
        <w:rPr>
          <w:rFonts w:ascii="Times New Roman" w:eastAsia="Times New Roman" w:hAnsi="Times New Roman" w:cs="Times New Roman"/>
          <w:b/>
          <w:sz w:val="20"/>
          <w:szCs w:val="20"/>
        </w:rPr>
        <w:t xml:space="preserve">Table </w:t>
      </w:r>
      <w:r w:rsidR="00F40C2D" w:rsidRPr="0081363B">
        <w:rPr>
          <w:rFonts w:ascii="Times New Roman" w:eastAsia="Times New Roman" w:hAnsi="Times New Roman" w:cs="Times New Roman"/>
          <w:b/>
          <w:sz w:val="20"/>
          <w:szCs w:val="20"/>
        </w:rPr>
        <w:t>4</w:t>
      </w:r>
      <w:r w:rsidRPr="0081363B">
        <w:rPr>
          <w:rFonts w:ascii="Times New Roman" w:eastAsia="Times New Roman" w:hAnsi="Times New Roman" w:cs="Times New Roman"/>
          <w:b/>
          <w:sz w:val="20"/>
          <w:szCs w:val="20"/>
        </w:rPr>
        <w:t>.2b</w:t>
      </w:r>
    </w:p>
    <w:p w14:paraId="0D39D63E" w14:textId="39D81EFF" w:rsidR="00DD7712" w:rsidRPr="0081363B" w:rsidRDefault="00DD7712" w:rsidP="009E6088">
      <w:pPr>
        <w:pStyle w:val="NoSpacing"/>
        <w:rPr>
          <w:rFonts w:ascii="Times New Roman" w:eastAsia="Times New Roman" w:hAnsi="Times New Roman" w:cs="Times New Roman"/>
          <w:b/>
          <w:i/>
          <w:iCs/>
          <w:sz w:val="20"/>
          <w:szCs w:val="20"/>
        </w:rPr>
      </w:pPr>
      <w:r w:rsidRPr="0081363B">
        <w:rPr>
          <w:rFonts w:ascii="Times New Roman" w:eastAsia="Times New Roman" w:hAnsi="Times New Roman" w:cs="Times New Roman"/>
          <w:b/>
          <w:i/>
          <w:iCs/>
          <w:sz w:val="20"/>
          <w:szCs w:val="20"/>
        </w:rPr>
        <w:t xml:space="preserve">Cointegration test proposed by Johansen and </w:t>
      </w:r>
      <w:proofErr w:type="spellStart"/>
      <w:r w:rsidRPr="0081363B">
        <w:rPr>
          <w:rFonts w:ascii="Times New Roman" w:eastAsia="Times New Roman" w:hAnsi="Times New Roman" w:cs="Times New Roman"/>
          <w:b/>
          <w:i/>
          <w:iCs/>
          <w:sz w:val="20"/>
          <w:szCs w:val="20"/>
        </w:rPr>
        <w:t>Juselius</w:t>
      </w:r>
      <w:proofErr w:type="spellEnd"/>
      <w:r w:rsidRPr="0081363B">
        <w:rPr>
          <w:rFonts w:ascii="Times New Roman" w:eastAsia="Times New Roman" w:hAnsi="Times New Roman" w:cs="Times New Roman"/>
          <w:b/>
          <w:i/>
          <w:iCs/>
          <w:sz w:val="20"/>
          <w:szCs w:val="20"/>
        </w:rPr>
        <w:t xml:space="preserve"> for multivariate environment for data before the global financial crisis</w:t>
      </w:r>
    </w:p>
    <w:tbl>
      <w:tblPr>
        <w:tblW w:w="5000" w:type="pct"/>
        <w:tblBorders>
          <w:top w:val="single" w:sz="12" w:space="0" w:color="auto"/>
          <w:bottom w:val="single" w:sz="12" w:space="0" w:color="auto"/>
        </w:tblBorders>
        <w:tblLook w:val="04A0" w:firstRow="1" w:lastRow="0" w:firstColumn="1" w:lastColumn="0" w:noHBand="0" w:noVBand="1"/>
      </w:tblPr>
      <w:tblGrid>
        <w:gridCol w:w="706"/>
        <w:gridCol w:w="668"/>
        <w:gridCol w:w="45"/>
        <w:gridCol w:w="971"/>
        <w:gridCol w:w="660"/>
        <w:gridCol w:w="411"/>
        <w:gridCol w:w="1010"/>
        <w:gridCol w:w="1811"/>
      </w:tblGrid>
      <w:tr w:rsidR="00A70245" w:rsidRPr="0081363B" w14:paraId="5C23FE54" w14:textId="77777777" w:rsidTr="009E4951">
        <w:trPr>
          <w:trHeight w:val="315"/>
        </w:trPr>
        <w:tc>
          <w:tcPr>
            <w:tcW w:w="1903" w:type="pct"/>
            <w:gridSpan w:val="4"/>
            <w:tcBorders>
              <w:top w:val="single" w:sz="12" w:space="0" w:color="auto"/>
              <w:bottom w:val="single" w:sz="4" w:space="0" w:color="auto"/>
            </w:tcBorders>
            <w:shd w:val="clear" w:color="auto" w:fill="auto"/>
            <w:noWrap/>
            <w:vAlign w:val="center"/>
            <w:hideMark/>
          </w:tcPr>
          <w:p w14:paraId="7EDCAFBF" w14:textId="77777777" w:rsidR="00DD7712" w:rsidRPr="0081363B" w:rsidRDefault="00DD7712" w:rsidP="009E6088">
            <w:pPr>
              <w:spacing w:after="0" w:line="240" w:lineRule="auto"/>
              <w:contextualSpacing/>
              <w:jc w:val="both"/>
              <w:rPr>
                <w:rFonts w:eastAsia="Times New Roman" w:cs="Times New Roman"/>
                <w:color w:val="000000"/>
                <w:sz w:val="20"/>
                <w:szCs w:val="20"/>
              </w:rPr>
            </w:pPr>
            <w:r w:rsidRPr="0081363B">
              <w:rPr>
                <w:rFonts w:eastAsia="Times New Roman" w:cs="Times New Roman"/>
                <w:color w:val="000000"/>
                <w:sz w:val="20"/>
                <w:szCs w:val="20"/>
              </w:rPr>
              <w:t>Hypotheses</w:t>
            </w:r>
          </w:p>
        </w:tc>
        <w:tc>
          <w:tcPr>
            <w:tcW w:w="525" w:type="pct"/>
            <w:tcBorders>
              <w:top w:val="single" w:sz="12" w:space="0" w:color="auto"/>
              <w:bottom w:val="single" w:sz="4" w:space="0" w:color="auto"/>
            </w:tcBorders>
            <w:shd w:val="clear" w:color="auto" w:fill="auto"/>
            <w:noWrap/>
            <w:vAlign w:val="center"/>
            <w:hideMark/>
          </w:tcPr>
          <w:p w14:paraId="734F22D0" w14:textId="77777777" w:rsidR="00DD7712" w:rsidRPr="0081363B" w:rsidRDefault="00DD7712" w:rsidP="009E6088">
            <w:pPr>
              <w:spacing w:after="0" w:line="240" w:lineRule="auto"/>
              <w:contextualSpacing/>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2572" w:type="pct"/>
            <w:gridSpan w:val="3"/>
            <w:tcBorders>
              <w:top w:val="single" w:sz="12" w:space="0" w:color="auto"/>
              <w:bottom w:val="single" w:sz="4" w:space="0" w:color="auto"/>
            </w:tcBorders>
            <w:shd w:val="clear" w:color="auto" w:fill="auto"/>
            <w:noWrap/>
            <w:vAlign w:val="center"/>
            <w:hideMark/>
          </w:tcPr>
          <w:p w14:paraId="3DF787DD" w14:textId="77777777" w:rsidR="00DD7712" w:rsidRPr="0081363B" w:rsidRDefault="00DD7712" w:rsidP="009E6088">
            <w:pPr>
              <w:spacing w:after="0" w:line="240" w:lineRule="auto"/>
              <w:contextualSpacing/>
              <w:jc w:val="both"/>
              <w:rPr>
                <w:rFonts w:eastAsia="Times New Roman" w:cs="Times New Roman"/>
                <w:color w:val="000000"/>
                <w:sz w:val="20"/>
                <w:szCs w:val="20"/>
              </w:rPr>
            </w:pPr>
            <w:r w:rsidRPr="0081363B">
              <w:rPr>
                <w:rFonts w:eastAsia="Times New Roman" w:cs="Times New Roman"/>
                <w:color w:val="000000"/>
                <w:sz w:val="20"/>
                <w:szCs w:val="20"/>
              </w:rPr>
              <w:t>Test Statistic</w:t>
            </w:r>
          </w:p>
        </w:tc>
      </w:tr>
      <w:tr w:rsidR="00256FE4" w:rsidRPr="0081363B" w14:paraId="22C9C414" w14:textId="77777777" w:rsidTr="00256FE4">
        <w:trPr>
          <w:trHeight w:val="315"/>
        </w:trPr>
        <w:tc>
          <w:tcPr>
            <w:tcW w:w="5000" w:type="pct"/>
            <w:gridSpan w:val="8"/>
            <w:tcBorders>
              <w:top w:val="single" w:sz="4" w:space="0" w:color="auto"/>
              <w:bottom w:val="single" w:sz="4" w:space="0" w:color="auto"/>
            </w:tcBorders>
            <w:shd w:val="clear" w:color="auto" w:fill="auto"/>
            <w:noWrap/>
            <w:vAlign w:val="center"/>
            <w:hideMark/>
          </w:tcPr>
          <w:p w14:paraId="059E3E54" w14:textId="6E9C3706" w:rsidR="00256FE4" w:rsidRPr="0081363B" w:rsidRDefault="00256FE4" w:rsidP="009E6088">
            <w:pPr>
              <w:spacing w:after="0" w:line="240" w:lineRule="auto"/>
              <w:jc w:val="center"/>
              <w:rPr>
                <w:rFonts w:eastAsia="Times New Roman" w:cs="Times New Roman"/>
                <w:color w:val="000000"/>
                <w:sz w:val="20"/>
                <w:szCs w:val="20"/>
              </w:rPr>
            </w:pPr>
            <w:r w:rsidRPr="0081363B">
              <w:rPr>
                <w:rFonts w:eastAsia="Times New Roman" w:cs="Times New Roman"/>
                <w:color w:val="000000"/>
                <w:sz w:val="20"/>
                <w:szCs w:val="20"/>
              </w:rPr>
              <w:t>Vector: [US, PK, IND, CN]</w:t>
            </w:r>
          </w:p>
        </w:tc>
      </w:tr>
      <w:tr w:rsidR="00256FE4" w:rsidRPr="0081363B" w14:paraId="76A2CA05" w14:textId="77777777" w:rsidTr="009E4951">
        <w:trPr>
          <w:trHeight w:val="322"/>
        </w:trPr>
        <w:tc>
          <w:tcPr>
            <w:tcW w:w="1130" w:type="pct"/>
            <w:gridSpan w:val="3"/>
            <w:tcBorders>
              <w:top w:val="single" w:sz="4" w:space="0" w:color="auto"/>
              <w:bottom w:val="single" w:sz="4" w:space="0" w:color="auto"/>
            </w:tcBorders>
            <w:shd w:val="clear" w:color="auto" w:fill="auto"/>
            <w:noWrap/>
            <w:vAlign w:val="center"/>
            <w:hideMark/>
          </w:tcPr>
          <w:p w14:paraId="09F13879"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Null</w:t>
            </w:r>
          </w:p>
        </w:tc>
        <w:tc>
          <w:tcPr>
            <w:tcW w:w="773" w:type="pct"/>
            <w:tcBorders>
              <w:top w:val="single" w:sz="4" w:space="0" w:color="auto"/>
              <w:bottom w:val="single" w:sz="4" w:space="0" w:color="auto"/>
            </w:tcBorders>
            <w:shd w:val="clear" w:color="auto" w:fill="auto"/>
            <w:noWrap/>
            <w:vAlign w:val="center"/>
            <w:hideMark/>
          </w:tcPr>
          <w:p w14:paraId="06102951"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Alternate</w:t>
            </w:r>
          </w:p>
        </w:tc>
        <w:tc>
          <w:tcPr>
            <w:tcW w:w="525" w:type="pct"/>
            <w:tcBorders>
              <w:top w:val="single" w:sz="4" w:space="0" w:color="auto"/>
              <w:bottom w:val="single" w:sz="4" w:space="0" w:color="auto"/>
            </w:tcBorders>
            <w:shd w:val="clear" w:color="auto" w:fill="auto"/>
            <w:noWrap/>
            <w:vAlign w:val="center"/>
            <w:hideMark/>
          </w:tcPr>
          <w:p w14:paraId="350DB41C"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top w:val="single" w:sz="4" w:space="0" w:color="auto"/>
              <w:bottom w:val="single" w:sz="4" w:space="0" w:color="auto"/>
            </w:tcBorders>
            <w:shd w:val="clear" w:color="auto" w:fill="auto"/>
            <w:noWrap/>
            <w:vAlign w:val="center"/>
            <w:hideMark/>
          </w:tcPr>
          <w:p w14:paraId="69C36C0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Trace Statistic</w:t>
            </w:r>
          </w:p>
        </w:tc>
        <w:tc>
          <w:tcPr>
            <w:tcW w:w="1441" w:type="pct"/>
            <w:tcBorders>
              <w:top w:val="single" w:sz="4" w:space="0" w:color="auto"/>
              <w:bottom w:val="single" w:sz="4" w:space="0" w:color="auto"/>
            </w:tcBorders>
            <w:shd w:val="clear" w:color="auto" w:fill="auto"/>
            <w:noWrap/>
            <w:vAlign w:val="center"/>
            <w:hideMark/>
          </w:tcPr>
          <w:p w14:paraId="09149B9F"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Max-Eigen Statistic</w:t>
            </w:r>
          </w:p>
        </w:tc>
      </w:tr>
      <w:tr w:rsidR="00256FE4" w:rsidRPr="0081363B" w14:paraId="4FB45F44" w14:textId="77777777" w:rsidTr="009E4951">
        <w:trPr>
          <w:trHeight w:val="315"/>
        </w:trPr>
        <w:tc>
          <w:tcPr>
            <w:tcW w:w="1130" w:type="pct"/>
            <w:gridSpan w:val="3"/>
            <w:shd w:val="clear" w:color="auto" w:fill="auto"/>
            <w:noWrap/>
            <w:vAlign w:val="center"/>
            <w:hideMark/>
          </w:tcPr>
          <w:p w14:paraId="3653BBD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r=0</w:t>
            </w:r>
          </w:p>
        </w:tc>
        <w:tc>
          <w:tcPr>
            <w:tcW w:w="773" w:type="pct"/>
            <w:shd w:val="clear" w:color="auto" w:fill="auto"/>
            <w:noWrap/>
            <w:vAlign w:val="center"/>
            <w:hideMark/>
          </w:tcPr>
          <w:p w14:paraId="455A67E5"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r&gt;0</w:t>
            </w:r>
          </w:p>
        </w:tc>
        <w:tc>
          <w:tcPr>
            <w:tcW w:w="525" w:type="pct"/>
            <w:shd w:val="clear" w:color="auto" w:fill="auto"/>
            <w:noWrap/>
            <w:vAlign w:val="center"/>
            <w:hideMark/>
          </w:tcPr>
          <w:p w14:paraId="3850A3E5"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shd w:val="clear" w:color="auto" w:fill="auto"/>
            <w:noWrap/>
            <w:vAlign w:val="center"/>
            <w:hideMark/>
          </w:tcPr>
          <w:p w14:paraId="08AC4AA8"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38.17459</w:t>
            </w:r>
          </w:p>
        </w:tc>
        <w:tc>
          <w:tcPr>
            <w:tcW w:w="1441" w:type="pct"/>
            <w:shd w:val="clear" w:color="auto" w:fill="auto"/>
            <w:noWrap/>
            <w:vAlign w:val="center"/>
            <w:hideMark/>
          </w:tcPr>
          <w:p w14:paraId="54B8C6ED"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20.80944</w:t>
            </w:r>
          </w:p>
        </w:tc>
      </w:tr>
      <w:tr w:rsidR="00256FE4" w:rsidRPr="0081363B" w14:paraId="3272E6BF" w14:textId="77777777" w:rsidTr="009E4951">
        <w:trPr>
          <w:trHeight w:val="315"/>
        </w:trPr>
        <w:tc>
          <w:tcPr>
            <w:tcW w:w="1130" w:type="pct"/>
            <w:gridSpan w:val="3"/>
            <w:shd w:val="clear" w:color="auto" w:fill="auto"/>
            <w:noWrap/>
            <w:vAlign w:val="center"/>
            <w:hideMark/>
          </w:tcPr>
          <w:p w14:paraId="55B7A67E"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r≤1</w:t>
            </w:r>
          </w:p>
        </w:tc>
        <w:tc>
          <w:tcPr>
            <w:tcW w:w="773" w:type="pct"/>
            <w:shd w:val="clear" w:color="auto" w:fill="auto"/>
            <w:noWrap/>
            <w:vAlign w:val="center"/>
            <w:hideMark/>
          </w:tcPr>
          <w:p w14:paraId="017B141B"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r&gt;1</w:t>
            </w:r>
          </w:p>
        </w:tc>
        <w:tc>
          <w:tcPr>
            <w:tcW w:w="525" w:type="pct"/>
            <w:shd w:val="clear" w:color="auto" w:fill="auto"/>
            <w:noWrap/>
            <w:vAlign w:val="center"/>
            <w:hideMark/>
          </w:tcPr>
          <w:p w14:paraId="69BF0B99"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shd w:val="clear" w:color="auto" w:fill="auto"/>
            <w:noWrap/>
            <w:vAlign w:val="center"/>
            <w:hideMark/>
          </w:tcPr>
          <w:p w14:paraId="612CEAD6"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17.36515</w:t>
            </w:r>
          </w:p>
        </w:tc>
        <w:tc>
          <w:tcPr>
            <w:tcW w:w="1441" w:type="pct"/>
            <w:shd w:val="clear" w:color="auto" w:fill="auto"/>
            <w:noWrap/>
            <w:vAlign w:val="center"/>
            <w:hideMark/>
          </w:tcPr>
          <w:p w14:paraId="1339FB85"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11.97568</w:t>
            </w:r>
          </w:p>
        </w:tc>
      </w:tr>
      <w:tr w:rsidR="00256FE4" w:rsidRPr="0081363B" w14:paraId="057DE9BC" w14:textId="77777777" w:rsidTr="009E4951">
        <w:trPr>
          <w:trHeight w:val="315"/>
        </w:trPr>
        <w:tc>
          <w:tcPr>
            <w:tcW w:w="1130" w:type="pct"/>
            <w:gridSpan w:val="3"/>
            <w:shd w:val="clear" w:color="auto" w:fill="auto"/>
            <w:noWrap/>
            <w:vAlign w:val="center"/>
            <w:hideMark/>
          </w:tcPr>
          <w:p w14:paraId="7D0B0786"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r≤2</w:t>
            </w:r>
          </w:p>
        </w:tc>
        <w:tc>
          <w:tcPr>
            <w:tcW w:w="773" w:type="pct"/>
            <w:shd w:val="clear" w:color="auto" w:fill="auto"/>
            <w:noWrap/>
            <w:vAlign w:val="center"/>
            <w:hideMark/>
          </w:tcPr>
          <w:p w14:paraId="2B2C8D3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r&gt;2</w:t>
            </w:r>
          </w:p>
        </w:tc>
        <w:tc>
          <w:tcPr>
            <w:tcW w:w="525" w:type="pct"/>
            <w:shd w:val="clear" w:color="auto" w:fill="auto"/>
            <w:noWrap/>
            <w:vAlign w:val="center"/>
            <w:hideMark/>
          </w:tcPr>
          <w:p w14:paraId="6732B320"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shd w:val="clear" w:color="auto" w:fill="auto"/>
            <w:noWrap/>
            <w:vAlign w:val="center"/>
            <w:hideMark/>
          </w:tcPr>
          <w:p w14:paraId="1F0EB04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5.38947</w:t>
            </w:r>
          </w:p>
        </w:tc>
        <w:tc>
          <w:tcPr>
            <w:tcW w:w="1441" w:type="pct"/>
            <w:shd w:val="clear" w:color="auto" w:fill="auto"/>
            <w:noWrap/>
            <w:vAlign w:val="center"/>
            <w:hideMark/>
          </w:tcPr>
          <w:p w14:paraId="118DBC4F"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4.92162</w:t>
            </w:r>
          </w:p>
        </w:tc>
      </w:tr>
      <w:tr w:rsidR="00256FE4" w:rsidRPr="0081363B" w14:paraId="10AA6AF5" w14:textId="77777777" w:rsidTr="009E4951">
        <w:trPr>
          <w:trHeight w:val="315"/>
        </w:trPr>
        <w:tc>
          <w:tcPr>
            <w:tcW w:w="1130" w:type="pct"/>
            <w:gridSpan w:val="3"/>
            <w:tcBorders>
              <w:bottom w:val="single" w:sz="4" w:space="0" w:color="auto"/>
            </w:tcBorders>
            <w:shd w:val="clear" w:color="auto" w:fill="auto"/>
            <w:noWrap/>
            <w:vAlign w:val="center"/>
            <w:hideMark/>
          </w:tcPr>
          <w:p w14:paraId="4A7C8C44"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r≤3</w:t>
            </w:r>
          </w:p>
        </w:tc>
        <w:tc>
          <w:tcPr>
            <w:tcW w:w="773" w:type="pct"/>
            <w:tcBorders>
              <w:bottom w:val="single" w:sz="4" w:space="0" w:color="auto"/>
            </w:tcBorders>
            <w:shd w:val="clear" w:color="auto" w:fill="auto"/>
            <w:noWrap/>
            <w:vAlign w:val="center"/>
            <w:hideMark/>
          </w:tcPr>
          <w:p w14:paraId="271DE4AC"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r&gt;3</w:t>
            </w:r>
          </w:p>
        </w:tc>
        <w:tc>
          <w:tcPr>
            <w:tcW w:w="525" w:type="pct"/>
            <w:tcBorders>
              <w:bottom w:val="single" w:sz="4" w:space="0" w:color="auto"/>
            </w:tcBorders>
            <w:shd w:val="clear" w:color="auto" w:fill="auto"/>
            <w:noWrap/>
            <w:vAlign w:val="center"/>
            <w:hideMark/>
          </w:tcPr>
          <w:p w14:paraId="40DA5767"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bottom w:val="single" w:sz="4" w:space="0" w:color="auto"/>
            </w:tcBorders>
            <w:shd w:val="clear" w:color="auto" w:fill="auto"/>
            <w:noWrap/>
            <w:vAlign w:val="bottom"/>
            <w:hideMark/>
          </w:tcPr>
          <w:p w14:paraId="1357D7BF" w14:textId="77777777" w:rsidR="00DD7712" w:rsidRPr="0081363B" w:rsidRDefault="00DD7712" w:rsidP="009E6088">
            <w:pPr>
              <w:spacing w:after="0" w:line="240" w:lineRule="auto"/>
              <w:rPr>
                <w:rFonts w:eastAsia="Times New Roman" w:cs="Times New Roman"/>
                <w:color w:val="000000"/>
                <w:sz w:val="20"/>
                <w:szCs w:val="20"/>
              </w:rPr>
            </w:pPr>
            <w:r w:rsidRPr="0081363B">
              <w:rPr>
                <w:rFonts w:eastAsia="Times New Roman" w:cs="Times New Roman"/>
                <w:color w:val="000000"/>
                <w:sz w:val="20"/>
                <w:szCs w:val="20"/>
              </w:rPr>
              <w:t>0.46785</w:t>
            </w:r>
          </w:p>
        </w:tc>
        <w:tc>
          <w:tcPr>
            <w:tcW w:w="1441" w:type="pct"/>
            <w:tcBorders>
              <w:bottom w:val="single" w:sz="4" w:space="0" w:color="auto"/>
            </w:tcBorders>
            <w:shd w:val="clear" w:color="auto" w:fill="auto"/>
            <w:noWrap/>
            <w:vAlign w:val="bottom"/>
            <w:hideMark/>
          </w:tcPr>
          <w:p w14:paraId="2BFC7F3F" w14:textId="77777777" w:rsidR="00DD7712" w:rsidRPr="0081363B" w:rsidRDefault="00DD7712" w:rsidP="009E6088">
            <w:pPr>
              <w:spacing w:after="0" w:line="240" w:lineRule="auto"/>
              <w:rPr>
                <w:rFonts w:eastAsia="Times New Roman" w:cs="Times New Roman"/>
                <w:color w:val="000000"/>
                <w:sz w:val="20"/>
                <w:szCs w:val="20"/>
              </w:rPr>
            </w:pPr>
            <w:r w:rsidRPr="0081363B">
              <w:rPr>
                <w:rFonts w:eastAsia="Times New Roman" w:cs="Times New Roman"/>
                <w:color w:val="000000"/>
                <w:sz w:val="20"/>
                <w:szCs w:val="20"/>
              </w:rPr>
              <w:t>0.46785</w:t>
            </w:r>
          </w:p>
        </w:tc>
      </w:tr>
      <w:tr w:rsidR="00256FE4" w:rsidRPr="0081363B" w14:paraId="5C9E98E5" w14:textId="77777777" w:rsidTr="00256FE4">
        <w:trPr>
          <w:trHeight w:val="315"/>
        </w:trPr>
        <w:tc>
          <w:tcPr>
            <w:tcW w:w="5000" w:type="pct"/>
            <w:gridSpan w:val="8"/>
            <w:tcBorders>
              <w:top w:val="single" w:sz="4" w:space="0" w:color="auto"/>
              <w:bottom w:val="single" w:sz="4" w:space="0" w:color="auto"/>
            </w:tcBorders>
            <w:shd w:val="clear" w:color="auto" w:fill="auto"/>
            <w:noWrap/>
            <w:vAlign w:val="center"/>
            <w:hideMark/>
          </w:tcPr>
          <w:p w14:paraId="7D8118BA" w14:textId="4EE14964" w:rsidR="00256FE4" w:rsidRPr="0081363B" w:rsidRDefault="00256FE4" w:rsidP="009E6088">
            <w:pPr>
              <w:spacing w:after="0" w:line="240" w:lineRule="auto"/>
              <w:jc w:val="center"/>
              <w:rPr>
                <w:rFonts w:eastAsia="Times New Roman" w:cs="Times New Roman"/>
                <w:color w:val="000000"/>
                <w:sz w:val="20"/>
                <w:szCs w:val="20"/>
              </w:rPr>
            </w:pPr>
            <w:r w:rsidRPr="0081363B">
              <w:rPr>
                <w:rFonts w:eastAsia="Times New Roman" w:cs="Times New Roman"/>
                <w:color w:val="000000"/>
                <w:sz w:val="20"/>
                <w:szCs w:val="20"/>
              </w:rPr>
              <w:t>Vector: [UK,PK, IND, CN]</w:t>
            </w:r>
          </w:p>
        </w:tc>
      </w:tr>
      <w:tr w:rsidR="00256FE4" w:rsidRPr="0081363B" w14:paraId="4FACEEA2" w14:textId="77777777" w:rsidTr="009E4951">
        <w:trPr>
          <w:trHeight w:val="124"/>
        </w:trPr>
        <w:tc>
          <w:tcPr>
            <w:tcW w:w="1130" w:type="pct"/>
            <w:gridSpan w:val="3"/>
            <w:tcBorders>
              <w:top w:val="single" w:sz="4" w:space="0" w:color="auto"/>
              <w:bottom w:val="single" w:sz="4" w:space="0" w:color="auto"/>
            </w:tcBorders>
            <w:shd w:val="clear" w:color="auto" w:fill="auto"/>
            <w:noWrap/>
            <w:vAlign w:val="center"/>
            <w:hideMark/>
          </w:tcPr>
          <w:p w14:paraId="58DD5CCD"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Null</w:t>
            </w:r>
          </w:p>
        </w:tc>
        <w:tc>
          <w:tcPr>
            <w:tcW w:w="773" w:type="pct"/>
            <w:tcBorders>
              <w:top w:val="single" w:sz="4" w:space="0" w:color="auto"/>
              <w:bottom w:val="single" w:sz="4" w:space="0" w:color="auto"/>
            </w:tcBorders>
            <w:shd w:val="clear" w:color="auto" w:fill="auto"/>
            <w:noWrap/>
            <w:vAlign w:val="center"/>
            <w:hideMark/>
          </w:tcPr>
          <w:p w14:paraId="3F3E18D6"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Alternate</w:t>
            </w:r>
          </w:p>
        </w:tc>
        <w:tc>
          <w:tcPr>
            <w:tcW w:w="525" w:type="pct"/>
            <w:tcBorders>
              <w:top w:val="single" w:sz="4" w:space="0" w:color="auto"/>
              <w:bottom w:val="single" w:sz="4" w:space="0" w:color="auto"/>
            </w:tcBorders>
            <w:shd w:val="clear" w:color="auto" w:fill="auto"/>
            <w:noWrap/>
            <w:vAlign w:val="center"/>
            <w:hideMark/>
          </w:tcPr>
          <w:p w14:paraId="4C4BA6F4"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top w:val="single" w:sz="4" w:space="0" w:color="auto"/>
              <w:bottom w:val="single" w:sz="4" w:space="0" w:color="auto"/>
            </w:tcBorders>
            <w:shd w:val="clear" w:color="auto" w:fill="auto"/>
            <w:noWrap/>
            <w:vAlign w:val="center"/>
            <w:hideMark/>
          </w:tcPr>
          <w:p w14:paraId="0D50B6FC"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Trace Statistic</w:t>
            </w:r>
          </w:p>
        </w:tc>
        <w:tc>
          <w:tcPr>
            <w:tcW w:w="1441" w:type="pct"/>
            <w:tcBorders>
              <w:top w:val="single" w:sz="4" w:space="0" w:color="auto"/>
              <w:bottom w:val="single" w:sz="4" w:space="0" w:color="auto"/>
            </w:tcBorders>
            <w:shd w:val="clear" w:color="auto" w:fill="auto"/>
            <w:noWrap/>
            <w:vAlign w:val="center"/>
            <w:hideMark/>
          </w:tcPr>
          <w:p w14:paraId="6C889AF1"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Max-Eigen Statistic</w:t>
            </w:r>
          </w:p>
        </w:tc>
      </w:tr>
      <w:tr w:rsidR="00256FE4" w:rsidRPr="0081363B" w14:paraId="702881EF" w14:textId="77777777" w:rsidTr="009E4951">
        <w:trPr>
          <w:trHeight w:val="315"/>
        </w:trPr>
        <w:tc>
          <w:tcPr>
            <w:tcW w:w="1130" w:type="pct"/>
            <w:gridSpan w:val="3"/>
            <w:tcBorders>
              <w:top w:val="single" w:sz="4" w:space="0" w:color="auto"/>
            </w:tcBorders>
            <w:shd w:val="clear" w:color="auto" w:fill="auto"/>
            <w:noWrap/>
            <w:vAlign w:val="center"/>
            <w:hideMark/>
          </w:tcPr>
          <w:p w14:paraId="76833761"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r=0</w:t>
            </w:r>
          </w:p>
        </w:tc>
        <w:tc>
          <w:tcPr>
            <w:tcW w:w="773" w:type="pct"/>
            <w:tcBorders>
              <w:top w:val="single" w:sz="4" w:space="0" w:color="auto"/>
            </w:tcBorders>
            <w:shd w:val="clear" w:color="auto" w:fill="auto"/>
            <w:noWrap/>
            <w:vAlign w:val="center"/>
            <w:hideMark/>
          </w:tcPr>
          <w:p w14:paraId="22F06F17"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r&gt;0</w:t>
            </w:r>
          </w:p>
        </w:tc>
        <w:tc>
          <w:tcPr>
            <w:tcW w:w="525" w:type="pct"/>
            <w:tcBorders>
              <w:top w:val="single" w:sz="4" w:space="0" w:color="auto"/>
            </w:tcBorders>
            <w:shd w:val="clear" w:color="auto" w:fill="auto"/>
            <w:noWrap/>
            <w:vAlign w:val="center"/>
            <w:hideMark/>
          </w:tcPr>
          <w:p w14:paraId="7CE279B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top w:val="single" w:sz="4" w:space="0" w:color="auto"/>
            </w:tcBorders>
            <w:shd w:val="clear" w:color="auto" w:fill="auto"/>
            <w:noWrap/>
            <w:vAlign w:val="bottom"/>
            <w:hideMark/>
          </w:tcPr>
          <w:p w14:paraId="1764D380" w14:textId="77777777" w:rsidR="00DD7712" w:rsidRPr="0081363B" w:rsidRDefault="00DD7712" w:rsidP="009E6088">
            <w:pPr>
              <w:spacing w:after="0" w:line="240" w:lineRule="auto"/>
              <w:jc w:val="right"/>
              <w:rPr>
                <w:rFonts w:eastAsia="Times New Roman" w:cs="Times New Roman"/>
                <w:color w:val="000000"/>
                <w:sz w:val="20"/>
                <w:szCs w:val="20"/>
              </w:rPr>
            </w:pPr>
            <w:r w:rsidRPr="0081363B">
              <w:rPr>
                <w:rFonts w:eastAsia="Times New Roman" w:cs="Times New Roman"/>
                <w:color w:val="000000"/>
                <w:sz w:val="20"/>
                <w:szCs w:val="20"/>
              </w:rPr>
              <w:t>39.10466</w:t>
            </w:r>
          </w:p>
        </w:tc>
        <w:tc>
          <w:tcPr>
            <w:tcW w:w="1441" w:type="pct"/>
            <w:tcBorders>
              <w:top w:val="single" w:sz="4" w:space="0" w:color="auto"/>
            </w:tcBorders>
            <w:shd w:val="clear" w:color="auto" w:fill="auto"/>
            <w:noWrap/>
            <w:vAlign w:val="bottom"/>
            <w:hideMark/>
          </w:tcPr>
          <w:p w14:paraId="1212A3F4" w14:textId="77777777" w:rsidR="00DD7712" w:rsidRPr="0081363B" w:rsidRDefault="00DD7712" w:rsidP="009E6088">
            <w:pPr>
              <w:spacing w:after="0" w:line="240" w:lineRule="auto"/>
              <w:jc w:val="right"/>
              <w:rPr>
                <w:rFonts w:eastAsia="Times New Roman" w:cs="Times New Roman"/>
                <w:color w:val="000000"/>
                <w:sz w:val="20"/>
                <w:szCs w:val="20"/>
              </w:rPr>
            </w:pPr>
            <w:r w:rsidRPr="0081363B">
              <w:rPr>
                <w:rFonts w:eastAsia="Times New Roman" w:cs="Times New Roman"/>
                <w:color w:val="000000"/>
                <w:sz w:val="20"/>
                <w:szCs w:val="20"/>
              </w:rPr>
              <w:t>20.41765</w:t>
            </w:r>
          </w:p>
        </w:tc>
      </w:tr>
      <w:tr w:rsidR="00256FE4" w:rsidRPr="0081363B" w14:paraId="2966939A" w14:textId="77777777" w:rsidTr="009E4951">
        <w:trPr>
          <w:trHeight w:val="315"/>
        </w:trPr>
        <w:tc>
          <w:tcPr>
            <w:tcW w:w="1130" w:type="pct"/>
            <w:gridSpan w:val="3"/>
            <w:shd w:val="clear" w:color="auto" w:fill="auto"/>
            <w:noWrap/>
            <w:vAlign w:val="center"/>
            <w:hideMark/>
          </w:tcPr>
          <w:p w14:paraId="5D0D93CD"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r≤1</w:t>
            </w:r>
          </w:p>
        </w:tc>
        <w:tc>
          <w:tcPr>
            <w:tcW w:w="773" w:type="pct"/>
            <w:shd w:val="clear" w:color="auto" w:fill="auto"/>
            <w:noWrap/>
            <w:vAlign w:val="center"/>
            <w:hideMark/>
          </w:tcPr>
          <w:p w14:paraId="6CEC018D"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r&gt;1</w:t>
            </w:r>
          </w:p>
        </w:tc>
        <w:tc>
          <w:tcPr>
            <w:tcW w:w="525" w:type="pct"/>
            <w:shd w:val="clear" w:color="auto" w:fill="auto"/>
            <w:noWrap/>
            <w:vAlign w:val="center"/>
            <w:hideMark/>
          </w:tcPr>
          <w:p w14:paraId="35047582"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shd w:val="clear" w:color="auto" w:fill="auto"/>
            <w:noWrap/>
            <w:vAlign w:val="bottom"/>
            <w:hideMark/>
          </w:tcPr>
          <w:p w14:paraId="071CDCAA" w14:textId="77777777" w:rsidR="00DD7712" w:rsidRPr="0081363B" w:rsidRDefault="00DD7712" w:rsidP="009E6088">
            <w:pPr>
              <w:spacing w:after="0" w:line="240" w:lineRule="auto"/>
              <w:jc w:val="right"/>
              <w:rPr>
                <w:rFonts w:eastAsia="Times New Roman" w:cs="Times New Roman"/>
                <w:color w:val="000000"/>
                <w:sz w:val="20"/>
                <w:szCs w:val="20"/>
              </w:rPr>
            </w:pPr>
            <w:r w:rsidRPr="0081363B">
              <w:rPr>
                <w:rFonts w:eastAsia="Times New Roman" w:cs="Times New Roman"/>
                <w:color w:val="000000"/>
                <w:sz w:val="20"/>
                <w:szCs w:val="20"/>
              </w:rPr>
              <w:t>18.687</w:t>
            </w:r>
          </w:p>
        </w:tc>
        <w:tc>
          <w:tcPr>
            <w:tcW w:w="1441" w:type="pct"/>
            <w:shd w:val="clear" w:color="auto" w:fill="auto"/>
            <w:noWrap/>
            <w:vAlign w:val="bottom"/>
            <w:hideMark/>
          </w:tcPr>
          <w:p w14:paraId="794A1077" w14:textId="77777777" w:rsidR="00DD7712" w:rsidRPr="0081363B" w:rsidRDefault="00DD7712" w:rsidP="009E6088">
            <w:pPr>
              <w:spacing w:after="0" w:line="240" w:lineRule="auto"/>
              <w:jc w:val="right"/>
              <w:rPr>
                <w:rFonts w:eastAsia="Times New Roman" w:cs="Times New Roman"/>
                <w:color w:val="000000"/>
                <w:sz w:val="20"/>
                <w:szCs w:val="20"/>
              </w:rPr>
            </w:pPr>
            <w:r w:rsidRPr="0081363B">
              <w:rPr>
                <w:rFonts w:eastAsia="Times New Roman" w:cs="Times New Roman"/>
                <w:color w:val="000000"/>
                <w:sz w:val="20"/>
                <w:szCs w:val="20"/>
              </w:rPr>
              <w:t>11.62064</w:t>
            </w:r>
          </w:p>
        </w:tc>
      </w:tr>
      <w:tr w:rsidR="00256FE4" w:rsidRPr="0081363B" w14:paraId="5F09FE3B" w14:textId="77777777" w:rsidTr="009E4951">
        <w:trPr>
          <w:trHeight w:val="315"/>
        </w:trPr>
        <w:tc>
          <w:tcPr>
            <w:tcW w:w="1130" w:type="pct"/>
            <w:gridSpan w:val="3"/>
            <w:shd w:val="clear" w:color="auto" w:fill="auto"/>
            <w:noWrap/>
            <w:vAlign w:val="center"/>
            <w:hideMark/>
          </w:tcPr>
          <w:p w14:paraId="5F3943D9"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r≤2</w:t>
            </w:r>
          </w:p>
        </w:tc>
        <w:tc>
          <w:tcPr>
            <w:tcW w:w="773" w:type="pct"/>
            <w:shd w:val="clear" w:color="auto" w:fill="auto"/>
            <w:noWrap/>
            <w:vAlign w:val="center"/>
            <w:hideMark/>
          </w:tcPr>
          <w:p w14:paraId="32ECD1EC"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r&gt;2</w:t>
            </w:r>
          </w:p>
        </w:tc>
        <w:tc>
          <w:tcPr>
            <w:tcW w:w="525" w:type="pct"/>
            <w:shd w:val="clear" w:color="auto" w:fill="auto"/>
            <w:noWrap/>
            <w:vAlign w:val="center"/>
            <w:hideMark/>
          </w:tcPr>
          <w:p w14:paraId="423E0867"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shd w:val="clear" w:color="auto" w:fill="auto"/>
            <w:noWrap/>
            <w:vAlign w:val="bottom"/>
            <w:hideMark/>
          </w:tcPr>
          <w:p w14:paraId="60D51DB3" w14:textId="77777777" w:rsidR="00DD7712" w:rsidRPr="0081363B" w:rsidRDefault="00DD7712" w:rsidP="009E6088">
            <w:pPr>
              <w:spacing w:after="0" w:line="240" w:lineRule="auto"/>
              <w:jc w:val="right"/>
              <w:rPr>
                <w:rFonts w:eastAsia="Times New Roman" w:cs="Times New Roman"/>
                <w:color w:val="000000"/>
                <w:sz w:val="20"/>
                <w:szCs w:val="20"/>
              </w:rPr>
            </w:pPr>
            <w:r w:rsidRPr="0081363B">
              <w:rPr>
                <w:rFonts w:eastAsia="Times New Roman" w:cs="Times New Roman"/>
                <w:color w:val="000000"/>
                <w:sz w:val="20"/>
                <w:szCs w:val="20"/>
              </w:rPr>
              <w:t>7.066367</w:t>
            </w:r>
          </w:p>
        </w:tc>
        <w:tc>
          <w:tcPr>
            <w:tcW w:w="1441" w:type="pct"/>
            <w:shd w:val="clear" w:color="auto" w:fill="auto"/>
            <w:noWrap/>
            <w:vAlign w:val="bottom"/>
            <w:hideMark/>
          </w:tcPr>
          <w:p w14:paraId="6AE14466" w14:textId="77777777" w:rsidR="00DD7712" w:rsidRPr="0081363B" w:rsidRDefault="00DD7712" w:rsidP="009E6088">
            <w:pPr>
              <w:spacing w:after="0" w:line="240" w:lineRule="auto"/>
              <w:jc w:val="right"/>
              <w:rPr>
                <w:rFonts w:eastAsia="Times New Roman" w:cs="Times New Roman"/>
                <w:color w:val="000000"/>
                <w:sz w:val="20"/>
                <w:szCs w:val="20"/>
              </w:rPr>
            </w:pPr>
            <w:r w:rsidRPr="0081363B">
              <w:rPr>
                <w:rFonts w:eastAsia="Times New Roman" w:cs="Times New Roman"/>
                <w:color w:val="000000"/>
                <w:sz w:val="20"/>
                <w:szCs w:val="20"/>
              </w:rPr>
              <w:t>6.901955</w:t>
            </w:r>
          </w:p>
        </w:tc>
      </w:tr>
      <w:tr w:rsidR="00256FE4" w:rsidRPr="0081363B" w14:paraId="7CEA25B2" w14:textId="77777777" w:rsidTr="009E4951">
        <w:trPr>
          <w:trHeight w:val="315"/>
        </w:trPr>
        <w:tc>
          <w:tcPr>
            <w:tcW w:w="1130" w:type="pct"/>
            <w:gridSpan w:val="3"/>
            <w:tcBorders>
              <w:bottom w:val="single" w:sz="4" w:space="0" w:color="auto"/>
            </w:tcBorders>
            <w:shd w:val="clear" w:color="auto" w:fill="auto"/>
            <w:noWrap/>
            <w:vAlign w:val="center"/>
            <w:hideMark/>
          </w:tcPr>
          <w:p w14:paraId="1D6AFCF8"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r≤3</w:t>
            </w:r>
          </w:p>
        </w:tc>
        <w:tc>
          <w:tcPr>
            <w:tcW w:w="773" w:type="pct"/>
            <w:tcBorders>
              <w:bottom w:val="single" w:sz="4" w:space="0" w:color="auto"/>
            </w:tcBorders>
            <w:shd w:val="clear" w:color="auto" w:fill="auto"/>
            <w:noWrap/>
            <w:vAlign w:val="center"/>
            <w:hideMark/>
          </w:tcPr>
          <w:p w14:paraId="2C778046"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r&gt;3</w:t>
            </w:r>
          </w:p>
        </w:tc>
        <w:tc>
          <w:tcPr>
            <w:tcW w:w="525" w:type="pct"/>
            <w:tcBorders>
              <w:bottom w:val="single" w:sz="4" w:space="0" w:color="auto"/>
            </w:tcBorders>
            <w:shd w:val="clear" w:color="auto" w:fill="auto"/>
            <w:noWrap/>
            <w:vAlign w:val="center"/>
            <w:hideMark/>
          </w:tcPr>
          <w:p w14:paraId="7F80D086"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bottom w:val="single" w:sz="4" w:space="0" w:color="auto"/>
            </w:tcBorders>
            <w:shd w:val="clear" w:color="auto" w:fill="auto"/>
            <w:noWrap/>
            <w:vAlign w:val="bottom"/>
            <w:hideMark/>
          </w:tcPr>
          <w:p w14:paraId="0BCC8F62" w14:textId="77777777" w:rsidR="00DD7712" w:rsidRPr="0081363B" w:rsidRDefault="00DD7712" w:rsidP="009E6088">
            <w:pPr>
              <w:spacing w:after="0" w:line="240" w:lineRule="auto"/>
              <w:jc w:val="right"/>
              <w:rPr>
                <w:rFonts w:eastAsia="Times New Roman" w:cs="Times New Roman"/>
                <w:color w:val="000000"/>
                <w:sz w:val="20"/>
                <w:szCs w:val="20"/>
              </w:rPr>
            </w:pPr>
            <w:r w:rsidRPr="0081363B">
              <w:rPr>
                <w:rFonts w:eastAsia="Times New Roman" w:cs="Times New Roman"/>
                <w:color w:val="000000"/>
                <w:sz w:val="20"/>
                <w:szCs w:val="20"/>
              </w:rPr>
              <w:t>0.164412</w:t>
            </w:r>
          </w:p>
        </w:tc>
        <w:tc>
          <w:tcPr>
            <w:tcW w:w="1441" w:type="pct"/>
            <w:tcBorders>
              <w:bottom w:val="single" w:sz="4" w:space="0" w:color="auto"/>
            </w:tcBorders>
            <w:shd w:val="clear" w:color="auto" w:fill="auto"/>
            <w:noWrap/>
            <w:vAlign w:val="bottom"/>
            <w:hideMark/>
          </w:tcPr>
          <w:p w14:paraId="41A548E4" w14:textId="77777777" w:rsidR="00DD7712" w:rsidRPr="0081363B" w:rsidRDefault="00DD7712" w:rsidP="009E6088">
            <w:pPr>
              <w:spacing w:after="0" w:line="240" w:lineRule="auto"/>
              <w:jc w:val="right"/>
              <w:rPr>
                <w:rFonts w:eastAsia="Times New Roman" w:cs="Times New Roman"/>
                <w:color w:val="000000"/>
                <w:sz w:val="20"/>
                <w:szCs w:val="20"/>
              </w:rPr>
            </w:pPr>
            <w:r w:rsidRPr="0081363B">
              <w:rPr>
                <w:rFonts w:eastAsia="Times New Roman" w:cs="Times New Roman"/>
                <w:color w:val="000000"/>
                <w:sz w:val="20"/>
                <w:szCs w:val="20"/>
              </w:rPr>
              <w:t>0.164412</w:t>
            </w:r>
          </w:p>
        </w:tc>
      </w:tr>
      <w:tr w:rsidR="00256FE4" w:rsidRPr="0081363B" w14:paraId="4C33BFE0" w14:textId="77777777" w:rsidTr="00256FE4">
        <w:trPr>
          <w:trHeight w:val="315"/>
        </w:trPr>
        <w:tc>
          <w:tcPr>
            <w:tcW w:w="5000" w:type="pct"/>
            <w:gridSpan w:val="8"/>
            <w:tcBorders>
              <w:top w:val="single" w:sz="4" w:space="0" w:color="auto"/>
              <w:bottom w:val="single" w:sz="4" w:space="0" w:color="auto"/>
            </w:tcBorders>
            <w:shd w:val="clear" w:color="auto" w:fill="auto"/>
            <w:noWrap/>
            <w:vAlign w:val="center"/>
            <w:hideMark/>
          </w:tcPr>
          <w:p w14:paraId="5BE06FF4" w14:textId="20DFAECC" w:rsidR="00256FE4" w:rsidRPr="0081363B" w:rsidRDefault="00256FE4" w:rsidP="009E6088">
            <w:pPr>
              <w:spacing w:after="0" w:line="240" w:lineRule="auto"/>
              <w:jc w:val="center"/>
              <w:rPr>
                <w:rFonts w:eastAsia="Times New Roman" w:cs="Times New Roman"/>
                <w:color w:val="000000"/>
                <w:sz w:val="20"/>
                <w:szCs w:val="20"/>
              </w:rPr>
            </w:pPr>
            <w:r w:rsidRPr="0081363B">
              <w:rPr>
                <w:rFonts w:eastAsia="Times New Roman" w:cs="Times New Roman"/>
                <w:color w:val="000000"/>
                <w:sz w:val="20"/>
                <w:szCs w:val="20"/>
              </w:rPr>
              <w:t>Vector: [GER, PK, IND, CN]</w:t>
            </w:r>
          </w:p>
        </w:tc>
      </w:tr>
      <w:tr w:rsidR="00256FE4" w:rsidRPr="0081363B" w14:paraId="58E6FBA8" w14:textId="77777777" w:rsidTr="009E4951">
        <w:trPr>
          <w:trHeight w:val="223"/>
        </w:trPr>
        <w:tc>
          <w:tcPr>
            <w:tcW w:w="1130" w:type="pct"/>
            <w:gridSpan w:val="3"/>
            <w:tcBorders>
              <w:top w:val="single" w:sz="4" w:space="0" w:color="auto"/>
              <w:bottom w:val="single" w:sz="4" w:space="0" w:color="auto"/>
            </w:tcBorders>
            <w:shd w:val="clear" w:color="auto" w:fill="auto"/>
            <w:noWrap/>
            <w:vAlign w:val="center"/>
            <w:hideMark/>
          </w:tcPr>
          <w:p w14:paraId="6E0A729B"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Null</w:t>
            </w:r>
          </w:p>
        </w:tc>
        <w:tc>
          <w:tcPr>
            <w:tcW w:w="773" w:type="pct"/>
            <w:tcBorders>
              <w:top w:val="single" w:sz="4" w:space="0" w:color="auto"/>
              <w:bottom w:val="single" w:sz="4" w:space="0" w:color="auto"/>
            </w:tcBorders>
            <w:shd w:val="clear" w:color="auto" w:fill="auto"/>
            <w:noWrap/>
            <w:vAlign w:val="center"/>
            <w:hideMark/>
          </w:tcPr>
          <w:p w14:paraId="21DB8ABD" w14:textId="77777777" w:rsidR="00DD7712" w:rsidRPr="0081363B" w:rsidRDefault="00DD7712" w:rsidP="009E6088">
            <w:pPr>
              <w:spacing w:after="0" w:line="240" w:lineRule="auto"/>
              <w:ind w:left="-90"/>
              <w:rPr>
                <w:rFonts w:eastAsia="Times New Roman" w:cs="Times New Roman"/>
                <w:color w:val="000000"/>
                <w:sz w:val="20"/>
                <w:szCs w:val="20"/>
              </w:rPr>
            </w:pPr>
            <w:r w:rsidRPr="0081363B">
              <w:rPr>
                <w:rFonts w:eastAsia="Times New Roman" w:cs="Times New Roman"/>
                <w:color w:val="000000"/>
                <w:sz w:val="20"/>
                <w:szCs w:val="20"/>
              </w:rPr>
              <w:t>Alternate</w:t>
            </w:r>
          </w:p>
        </w:tc>
        <w:tc>
          <w:tcPr>
            <w:tcW w:w="525" w:type="pct"/>
            <w:tcBorders>
              <w:top w:val="single" w:sz="4" w:space="0" w:color="auto"/>
              <w:bottom w:val="single" w:sz="4" w:space="0" w:color="auto"/>
            </w:tcBorders>
            <w:shd w:val="clear" w:color="auto" w:fill="auto"/>
            <w:noWrap/>
            <w:vAlign w:val="center"/>
            <w:hideMark/>
          </w:tcPr>
          <w:p w14:paraId="7E6633D2"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top w:val="single" w:sz="4" w:space="0" w:color="auto"/>
              <w:bottom w:val="single" w:sz="4" w:space="0" w:color="auto"/>
            </w:tcBorders>
            <w:shd w:val="clear" w:color="auto" w:fill="auto"/>
            <w:noWrap/>
            <w:vAlign w:val="center"/>
            <w:hideMark/>
          </w:tcPr>
          <w:p w14:paraId="31DF0437"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Trace Statistic</w:t>
            </w:r>
          </w:p>
        </w:tc>
        <w:tc>
          <w:tcPr>
            <w:tcW w:w="1441" w:type="pct"/>
            <w:tcBorders>
              <w:top w:val="single" w:sz="4" w:space="0" w:color="auto"/>
              <w:bottom w:val="single" w:sz="4" w:space="0" w:color="auto"/>
            </w:tcBorders>
            <w:shd w:val="clear" w:color="auto" w:fill="auto"/>
            <w:noWrap/>
            <w:vAlign w:val="center"/>
            <w:hideMark/>
          </w:tcPr>
          <w:p w14:paraId="53B16E72"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Max-Eigen Statistic</w:t>
            </w:r>
          </w:p>
        </w:tc>
      </w:tr>
      <w:tr w:rsidR="00256FE4" w:rsidRPr="0081363B" w14:paraId="612D9B71" w14:textId="77777777" w:rsidTr="009E4951">
        <w:trPr>
          <w:trHeight w:val="315"/>
        </w:trPr>
        <w:tc>
          <w:tcPr>
            <w:tcW w:w="1130" w:type="pct"/>
            <w:gridSpan w:val="3"/>
            <w:shd w:val="clear" w:color="auto" w:fill="auto"/>
            <w:noWrap/>
            <w:vAlign w:val="center"/>
            <w:hideMark/>
          </w:tcPr>
          <w:p w14:paraId="1A6F02C0"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r=0</w:t>
            </w:r>
          </w:p>
        </w:tc>
        <w:tc>
          <w:tcPr>
            <w:tcW w:w="773" w:type="pct"/>
            <w:shd w:val="clear" w:color="auto" w:fill="auto"/>
            <w:noWrap/>
            <w:vAlign w:val="center"/>
            <w:hideMark/>
          </w:tcPr>
          <w:p w14:paraId="2FC92FDB"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r&gt;0</w:t>
            </w:r>
          </w:p>
        </w:tc>
        <w:tc>
          <w:tcPr>
            <w:tcW w:w="525" w:type="pct"/>
            <w:shd w:val="clear" w:color="auto" w:fill="auto"/>
            <w:noWrap/>
            <w:vAlign w:val="center"/>
            <w:hideMark/>
          </w:tcPr>
          <w:p w14:paraId="543DAF90"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shd w:val="clear" w:color="auto" w:fill="auto"/>
            <w:noWrap/>
            <w:vAlign w:val="center"/>
            <w:hideMark/>
          </w:tcPr>
          <w:p w14:paraId="5D84FA55"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39.59399</w:t>
            </w:r>
          </w:p>
        </w:tc>
        <w:tc>
          <w:tcPr>
            <w:tcW w:w="1441" w:type="pct"/>
            <w:shd w:val="clear" w:color="auto" w:fill="auto"/>
            <w:noWrap/>
            <w:vAlign w:val="center"/>
            <w:hideMark/>
          </w:tcPr>
          <w:p w14:paraId="5184729C"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21.46176</w:t>
            </w:r>
          </w:p>
        </w:tc>
      </w:tr>
      <w:tr w:rsidR="00256FE4" w:rsidRPr="0081363B" w14:paraId="71A52EA5" w14:textId="77777777" w:rsidTr="009E4951">
        <w:trPr>
          <w:trHeight w:val="315"/>
        </w:trPr>
        <w:tc>
          <w:tcPr>
            <w:tcW w:w="1130" w:type="pct"/>
            <w:gridSpan w:val="3"/>
            <w:shd w:val="clear" w:color="auto" w:fill="auto"/>
            <w:noWrap/>
            <w:vAlign w:val="center"/>
            <w:hideMark/>
          </w:tcPr>
          <w:p w14:paraId="2DB136E9"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r≤1</w:t>
            </w:r>
          </w:p>
        </w:tc>
        <w:tc>
          <w:tcPr>
            <w:tcW w:w="773" w:type="pct"/>
            <w:shd w:val="clear" w:color="auto" w:fill="auto"/>
            <w:noWrap/>
            <w:vAlign w:val="center"/>
            <w:hideMark/>
          </w:tcPr>
          <w:p w14:paraId="029461F7"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r&gt;1</w:t>
            </w:r>
          </w:p>
        </w:tc>
        <w:tc>
          <w:tcPr>
            <w:tcW w:w="525" w:type="pct"/>
            <w:shd w:val="clear" w:color="auto" w:fill="auto"/>
            <w:noWrap/>
            <w:vAlign w:val="center"/>
            <w:hideMark/>
          </w:tcPr>
          <w:p w14:paraId="117EE1A1"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shd w:val="clear" w:color="auto" w:fill="auto"/>
            <w:noWrap/>
            <w:vAlign w:val="center"/>
            <w:hideMark/>
          </w:tcPr>
          <w:p w14:paraId="4BA28700"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18.13223</w:t>
            </w:r>
          </w:p>
        </w:tc>
        <w:tc>
          <w:tcPr>
            <w:tcW w:w="1441" w:type="pct"/>
            <w:shd w:val="clear" w:color="auto" w:fill="auto"/>
            <w:noWrap/>
            <w:vAlign w:val="center"/>
            <w:hideMark/>
          </w:tcPr>
          <w:p w14:paraId="3521ED9B"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11.88965</w:t>
            </w:r>
          </w:p>
        </w:tc>
      </w:tr>
      <w:tr w:rsidR="00256FE4" w:rsidRPr="0081363B" w14:paraId="614202C8" w14:textId="77777777" w:rsidTr="009E4951">
        <w:trPr>
          <w:trHeight w:val="315"/>
        </w:trPr>
        <w:tc>
          <w:tcPr>
            <w:tcW w:w="1130" w:type="pct"/>
            <w:gridSpan w:val="3"/>
            <w:shd w:val="clear" w:color="auto" w:fill="auto"/>
            <w:noWrap/>
            <w:vAlign w:val="center"/>
            <w:hideMark/>
          </w:tcPr>
          <w:p w14:paraId="68FB59E3"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r≤2</w:t>
            </w:r>
          </w:p>
        </w:tc>
        <w:tc>
          <w:tcPr>
            <w:tcW w:w="773" w:type="pct"/>
            <w:shd w:val="clear" w:color="auto" w:fill="auto"/>
            <w:noWrap/>
            <w:vAlign w:val="center"/>
            <w:hideMark/>
          </w:tcPr>
          <w:p w14:paraId="0DB453AD"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r&gt;2</w:t>
            </w:r>
          </w:p>
        </w:tc>
        <w:tc>
          <w:tcPr>
            <w:tcW w:w="525" w:type="pct"/>
            <w:shd w:val="clear" w:color="auto" w:fill="auto"/>
            <w:noWrap/>
            <w:vAlign w:val="center"/>
            <w:hideMark/>
          </w:tcPr>
          <w:p w14:paraId="59FAD123"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shd w:val="clear" w:color="auto" w:fill="auto"/>
            <w:noWrap/>
            <w:vAlign w:val="center"/>
            <w:hideMark/>
          </w:tcPr>
          <w:p w14:paraId="06361BE3"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6.24258</w:t>
            </w:r>
          </w:p>
        </w:tc>
        <w:tc>
          <w:tcPr>
            <w:tcW w:w="1441" w:type="pct"/>
            <w:shd w:val="clear" w:color="auto" w:fill="auto"/>
            <w:noWrap/>
            <w:vAlign w:val="center"/>
            <w:hideMark/>
          </w:tcPr>
          <w:p w14:paraId="64D883B7"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6.119456</w:t>
            </w:r>
          </w:p>
        </w:tc>
      </w:tr>
      <w:tr w:rsidR="00256FE4" w:rsidRPr="0081363B" w14:paraId="673592A1" w14:textId="77777777" w:rsidTr="009E4951">
        <w:trPr>
          <w:trHeight w:val="315"/>
        </w:trPr>
        <w:tc>
          <w:tcPr>
            <w:tcW w:w="1130" w:type="pct"/>
            <w:gridSpan w:val="3"/>
            <w:tcBorders>
              <w:bottom w:val="single" w:sz="4" w:space="0" w:color="auto"/>
            </w:tcBorders>
            <w:shd w:val="clear" w:color="auto" w:fill="auto"/>
            <w:noWrap/>
            <w:vAlign w:val="center"/>
            <w:hideMark/>
          </w:tcPr>
          <w:p w14:paraId="3C71A3CC"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r≤3</w:t>
            </w:r>
          </w:p>
        </w:tc>
        <w:tc>
          <w:tcPr>
            <w:tcW w:w="773" w:type="pct"/>
            <w:tcBorders>
              <w:bottom w:val="single" w:sz="4" w:space="0" w:color="auto"/>
            </w:tcBorders>
            <w:shd w:val="clear" w:color="auto" w:fill="auto"/>
            <w:noWrap/>
            <w:vAlign w:val="center"/>
            <w:hideMark/>
          </w:tcPr>
          <w:p w14:paraId="6EA5AD96"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r&gt;3</w:t>
            </w:r>
          </w:p>
        </w:tc>
        <w:tc>
          <w:tcPr>
            <w:tcW w:w="525" w:type="pct"/>
            <w:tcBorders>
              <w:bottom w:val="single" w:sz="4" w:space="0" w:color="auto"/>
            </w:tcBorders>
            <w:shd w:val="clear" w:color="auto" w:fill="auto"/>
            <w:noWrap/>
            <w:vAlign w:val="center"/>
            <w:hideMark/>
          </w:tcPr>
          <w:p w14:paraId="65014395"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bottom w:val="single" w:sz="4" w:space="0" w:color="auto"/>
            </w:tcBorders>
            <w:shd w:val="clear" w:color="auto" w:fill="auto"/>
            <w:noWrap/>
            <w:vAlign w:val="bottom"/>
            <w:hideMark/>
          </w:tcPr>
          <w:p w14:paraId="7C8AA123" w14:textId="77777777" w:rsidR="00DD7712" w:rsidRPr="0081363B" w:rsidRDefault="00DD7712" w:rsidP="009E6088">
            <w:pPr>
              <w:spacing w:after="0" w:line="240" w:lineRule="auto"/>
              <w:rPr>
                <w:rFonts w:eastAsia="Times New Roman" w:cs="Times New Roman"/>
                <w:color w:val="000000"/>
                <w:sz w:val="20"/>
                <w:szCs w:val="20"/>
              </w:rPr>
            </w:pPr>
            <w:r w:rsidRPr="0081363B">
              <w:rPr>
                <w:rFonts w:eastAsia="Times New Roman" w:cs="Times New Roman"/>
                <w:color w:val="000000"/>
                <w:sz w:val="20"/>
                <w:szCs w:val="20"/>
              </w:rPr>
              <w:t>0.123124</w:t>
            </w:r>
          </w:p>
        </w:tc>
        <w:tc>
          <w:tcPr>
            <w:tcW w:w="1441" w:type="pct"/>
            <w:tcBorders>
              <w:bottom w:val="single" w:sz="4" w:space="0" w:color="auto"/>
            </w:tcBorders>
            <w:shd w:val="clear" w:color="auto" w:fill="auto"/>
            <w:noWrap/>
            <w:vAlign w:val="bottom"/>
            <w:hideMark/>
          </w:tcPr>
          <w:p w14:paraId="6D54BF23" w14:textId="77777777" w:rsidR="00DD7712" w:rsidRPr="0081363B" w:rsidRDefault="00DD7712" w:rsidP="009E6088">
            <w:pPr>
              <w:spacing w:after="0" w:line="240" w:lineRule="auto"/>
              <w:rPr>
                <w:rFonts w:eastAsia="Times New Roman" w:cs="Times New Roman"/>
                <w:color w:val="000000"/>
                <w:sz w:val="20"/>
                <w:szCs w:val="20"/>
              </w:rPr>
            </w:pPr>
            <w:r w:rsidRPr="0081363B">
              <w:rPr>
                <w:rFonts w:eastAsia="Times New Roman" w:cs="Times New Roman"/>
                <w:color w:val="000000"/>
                <w:sz w:val="20"/>
                <w:szCs w:val="20"/>
              </w:rPr>
              <w:t>0.123124</w:t>
            </w:r>
          </w:p>
        </w:tc>
      </w:tr>
      <w:tr w:rsidR="00256FE4" w:rsidRPr="0081363B" w14:paraId="6D43BD8E" w14:textId="77777777" w:rsidTr="00256FE4">
        <w:trPr>
          <w:trHeight w:val="315"/>
        </w:trPr>
        <w:tc>
          <w:tcPr>
            <w:tcW w:w="5000" w:type="pct"/>
            <w:gridSpan w:val="8"/>
            <w:tcBorders>
              <w:top w:val="single" w:sz="4" w:space="0" w:color="auto"/>
              <w:bottom w:val="nil"/>
            </w:tcBorders>
            <w:shd w:val="clear" w:color="auto" w:fill="auto"/>
            <w:noWrap/>
            <w:vAlign w:val="center"/>
            <w:hideMark/>
          </w:tcPr>
          <w:p w14:paraId="06E07DB8" w14:textId="0B3132AA" w:rsidR="00256FE4" w:rsidRPr="0081363B" w:rsidRDefault="00256FE4" w:rsidP="009E6088">
            <w:pPr>
              <w:spacing w:after="0" w:line="240" w:lineRule="auto"/>
              <w:jc w:val="center"/>
              <w:rPr>
                <w:rFonts w:eastAsia="Times New Roman" w:cs="Times New Roman"/>
                <w:color w:val="000000"/>
                <w:sz w:val="20"/>
                <w:szCs w:val="20"/>
              </w:rPr>
            </w:pPr>
            <w:r w:rsidRPr="0081363B">
              <w:rPr>
                <w:rFonts w:eastAsia="Times New Roman" w:cs="Times New Roman"/>
                <w:color w:val="000000"/>
                <w:sz w:val="20"/>
                <w:szCs w:val="20"/>
              </w:rPr>
              <w:t>Vector: [JN, PK, IND, CN]</w:t>
            </w:r>
          </w:p>
        </w:tc>
      </w:tr>
      <w:tr w:rsidR="00256FE4" w:rsidRPr="0081363B" w14:paraId="78EA788D" w14:textId="77777777" w:rsidTr="009E4951">
        <w:trPr>
          <w:trHeight w:val="89"/>
        </w:trPr>
        <w:tc>
          <w:tcPr>
            <w:tcW w:w="1130" w:type="pct"/>
            <w:gridSpan w:val="3"/>
            <w:tcBorders>
              <w:top w:val="nil"/>
              <w:bottom w:val="single" w:sz="4" w:space="0" w:color="auto"/>
            </w:tcBorders>
            <w:shd w:val="clear" w:color="auto" w:fill="auto"/>
            <w:noWrap/>
            <w:vAlign w:val="center"/>
            <w:hideMark/>
          </w:tcPr>
          <w:p w14:paraId="343A3499"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Null</w:t>
            </w:r>
          </w:p>
        </w:tc>
        <w:tc>
          <w:tcPr>
            <w:tcW w:w="773" w:type="pct"/>
            <w:tcBorders>
              <w:top w:val="nil"/>
              <w:bottom w:val="single" w:sz="4" w:space="0" w:color="auto"/>
            </w:tcBorders>
            <w:shd w:val="clear" w:color="auto" w:fill="auto"/>
            <w:noWrap/>
            <w:vAlign w:val="center"/>
            <w:hideMark/>
          </w:tcPr>
          <w:p w14:paraId="3800A474"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Alternate</w:t>
            </w:r>
          </w:p>
        </w:tc>
        <w:tc>
          <w:tcPr>
            <w:tcW w:w="525" w:type="pct"/>
            <w:tcBorders>
              <w:top w:val="nil"/>
              <w:bottom w:val="single" w:sz="4" w:space="0" w:color="auto"/>
            </w:tcBorders>
            <w:shd w:val="clear" w:color="auto" w:fill="auto"/>
            <w:noWrap/>
            <w:vAlign w:val="center"/>
            <w:hideMark/>
          </w:tcPr>
          <w:p w14:paraId="0BB1CBF0"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top w:val="nil"/>
              <w:bottom w:val="single" w:sz="4" w:space="0" w:color="auto"/>
            </w:tcBorders>
            <w:shd w:val="clear" w:color="auto" w:fill="auto"/>
            <w:noWrap/>
            <w:vAlign w:val="center"/>
            <w:hideMark/>
          </w:tcPr>
          <w:p w14:paraId="3EE968D7"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Trace Statistic</w:t>
            </w:r>
          </w:p>
        </w:tc>
        <w:tc>
          <w:tcPr>
            <w:tcW w:w="1441" w:type="pct"/>
            <w:tcBorders>
              <w:top w:val="nil"/>
              <w:bottom w:val="single" w:sz="4" w:space="0" w:color="auto"/>
            </w:tcBorders>
            <w:shd w:val="clear" w:color="auto" w:fill="auto"/>
            <w:noWrap/>
            <w:vAlign w:val="center"/>
            <w:hideMark/>
          </w:tcPr>
          <w:p w14:paraId="1B67D1DB"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Max-Eigen Statistic</w:t>
            </w:r>
          </w:p>
        </w:tc>
      </w:tr>
      <w:tr w:rsidR="00256FE4" w:rsidRPr="0081363B" w14:paraId="1CA28BCC" w14:textId="77777777" w:rsidTr="009E4951">
        <w:trPr>
          <w:trHeight w:val="315"/>
        </w:trPr>
        <w:tc>
          <w:tcPr>
            <w:tcW w:w="1130" w:type="pct"/>
            <w:gridSpan w:val="3"/>
            <w:tcBorders>
              <w:top w:val="single" w:sz="4" w:space="0" w:color="auto"/>
            </w:tcBorders>
            <w:shd w:val="clear" w:color="auto" w:fill="auto"/>
            <w:noWrap/>
            <w:vAlign w:val="center"/>
            <w:hideMark/>
          </w:tcPr>
          <w:p w14:paraId="5E9C161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r=0</w:t>
            </w:r>
          </w:p>
        </w:tc>
        <w:tc>
          <w:tcPr>
            <w:tcW w:w="773" w:type="pct"/>
            <w:tcBorders>
              <w:top w:val="single" w:sz="4" w:space="0" w:color="auto"/>
            </w:tcBorders>
            <w:shd w:val="clear" w:color="auto" w:fill="auto"/>
            <w:noWrap/>
            <w:vAlign w:val="center"/>
            <w:hideMark/>
          </w:tcPr>
          <w:p w14:paraId="2508C06F"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r&gt;0</w:t>
            </w:r>
          </w:p>
        </w:tc>
        <w:tc>
          <w:tcPr>
            <w:tcW w:w="525" w:type="pct"/>
            <w:tcBorders>
              <w:top w:val="single" w:sz="4" w:space="0" w:color="auto"/>
            </w:tcBorders>
            <w:shd w:val="clear" w:color="auto" w:fill="auto"/>
            <w:noWrap/>
            <w:vAlign w:val="center"/>
            <w:hideMark/>
          </w:tcPr>
          <w:p w14:paraId="5BCB25C2"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top w:val="single" w:sz="4" w:space="0" w:color="auto"/>
            </w:tcBorders>
            <w:shd w:val="clear" w:color="auto" w:fill="auto"/>
            <w:noWrap/>
            <w:vAlign w:val="center"/>
            <w:hideMark/>
          </w:tcPr>
          <w:p w14:paraId="1B746F9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39.53074</w:t>
            </w:r>
          </w:p>
        </w:tc>
        <w:tc>
          <w:tcPr>
            <w:tcW w:w="1441" w:type="pct"/>
            <w:tcBorders>
              <w:top w:val="single" w:sz="4" w:space="0" w:color="auto"/>
            </w:tcBorders>
            <w:shd w:val="clear" w:color="auto" w:fill="auto"/>
            <w:noWrap/>
            <w:vAlign w:val="center"/>
            <w:hideMark/>
          </w:tcPr>
          <w:p w14:paraId="5CEA1E8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21.07577</w:t>
            </w:r>
          </w:p>
        </w:tc>
      </w:tr>
      <w:tr w:rsidR="00256FE4" w:rsidRPr="0081363B" w14:paraId="59A9D309" w14:textId="77777777" w:rsidTr="009E4951">
        <w:trPr>
          <w:trHeight w:val="315"/>
        </w:trPr>
        <w:tc>
          <w:tcPr>
            <w:tcW w:w="1130" w:type="pct"/>
            <w:gridSpan w:val="3"/>
            <w:shd w:val="clear" w:color="auto" w:fill="auto"/>
            <w:noWrap/>
            <w:vAlign w:val="center"/>
            <w:hideMark/>
          </w:tcPr>
          <w:p w14:paraId="22D9C7A9"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r≤1</w:t>
            </w:r>
          </w:p>
        </w:tc>
        <w:tc>
          <w:tcPr>
            <w:tcW w:w="773" w:type="pct"/>
            <w:shd w:val="clear" w:color="auto" w:fill="auto"/>
            <w:noWrap/>
            <w:vAlign w:val="center"/>
            <w:hideMark/>
          </w:tcPr>
          <w:p w14:paraId="17CD5ADD"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r&gt;1</w:t>
            </w:r>
          </w:p>
        </w:tc>
        <w:tc>
          <w:tcPr>
            <w:tcW w:w="525" w:type="pct"/>
            <w:shd w:val="clear" w:color="auto" w:fill="auto"/>
            <w:noWrap/>
            <w:vAlign w:val="center"/>
            <w:hideMark/>
          </w:tcPr>
          <w:p w14:paraId="3C239A2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shd w:val="clear" w:color="auto" w:fill="auto"/>
            <w:noWrap/>
            <w:vAlign w:val="center"/>
            <w:hideMark/>
          </w:tcPr>
          <w:p w14:paraId="3CDE1AD8"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18.45497</w:t>
            </w:r>
          </w:p>
        </w:tc>
        <w:tc>
          <w:tcPr>
            <w:tcW w:w="1441" w:type="pct"/>
            <w:shd w:val="clear" w:color="auto" w:fill="auto"/>
            <w:noWrap/>
            <w:vAlign w:val="center"/>
            <w:hideMark/>
          </w:tcPr>
          <w:p w14:paraId="2FB8A54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10.31529</w:t>
            </w:r>
          </w:p>
        </w:tc>
      </w:tr>
      <w:tr w:rsidR="00256FE4" w:rsidRPr="0081363B" w14:paraId="6A0D24E8" w14:textId="77777777" w:rsidTr="009E4951">
        <w:trPr>
          <w:trHeight w:val="315"/>
        </w:trPr>
        <w:tc>
          <w:tcPr>
            <w:tcW w:w="1130" w:type="pct"/>
            <w:gridSpan w:val="3"/>
            <w:tcBorders>
              <w:bottom w:val="nil"/>
            </w:tcBorders>
            <w:shd w:val="clear" w:color="auto" w:fill="auto"/>
            <w:noWrap/>
            <w:vAlign w:val="center"/>
            <w:hideMark/>
          </w:tcPr>
          <w:p w14:paraId="6311E13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r≤2</w:t>
            </w:r>
          </w:p>
        </w:tc>
        <w:tc>
          <w:tcPr>
            <w:tcW w:w="773" w:type="pct"/>
            <w:tcBorders>
              <w:bottom w:val="nil"/>
            </w:tcBorders>
            <w:shd w:val="clear" w:color="auto" w:fill="auto"/>
            <w:noWrap/>
            <w:vAlign w:val="center"/>
            <w:hideMark/>
          </w:tcPr>
          <w:p w14:paraId="3FFA498F"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r&gt;2</w:t>
            </w:r>
          </w:p>
        </w:tc>
        <w:tc>
          <w:tcPr>
            <w:tcW w:w="525" w:type="pct"/>
            <w:tcBorders>
              <w:bottom w:val="nil"/>
            </w:tcBorders>
            <w:shd w:val="clear" w:color="auto" w:fill="auto"/>
            <w:noWrap/>
            <w:vAlign w:val="center"/>
            <w:hideMark/>
          </w:tcPr>
          <w:p w14:paraId="7FE4C478"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bottom w:val="nil"/>
            </w:tcBorders>
            <w:shd w:val="clear" w:color="auto" w:fill="auto"/>
            <w:noWrap/>
            <w:vAlign w:val="center"/>
            <w:hideMark/>
          </w:tcPr>
          <w:p w14:paraId="0652216A"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8.139673</w:t>
            </w:r>
          </w:p>
        </w:tc>
        <w:tc>
          <w:tcPr>
            <w:tcW w:w="1441" w:type="pct"/>
            <w:tcBorders>
              <w:bottom w:val="nil"/>
            </w:tcBorders>
            <w:shd w:val="clear" w:color="auto" w:fill="auto"/>
            <w:noWrap/>
            <w:vAlign w:val="center"/>
            <w:hideMark/>
          </w:tcPr>
          <w:p w14:paraId="17D88FB1"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7.898456</w:t>
            </w:r>
          </w:p>
        </w:tc>
      </w:tr>
      <w:tr w:rsidR="00256FE4" w:rsidRPr="0081363B" w14:paraId="175E478A" w14:textId="77777777" w:rsidTr="009E4951">
        <w:trPr>
          <w:trHeight w:val="70"/>
        </w:trPr>
        <w:tc>
          <w:tcPr>
            <w:tcW w:w="1130" w:type="pct"/>
            <w:gridSpan w:val="3"/>
            <w:tcBorders>
              <w:top w:val="nil"/>
              <w:bottom w:val="single" w:sz="4" w:space="0" w:color="auto"/>
            </w:tcBorders>
            <w:shd w:val="clear" w:color="auto" w:fill="auto"/>
            <w:noWrap/>
            <w:vAlign w:val="center"/>
            <w:hideMark/>
          </w:tcPr>
          <w:p w14:paraId="154DCD8C"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r≤3</w:t>
            </w:r>
          </w:p>
        </w:tc>
        <w:tc>
          <w:tcPr>
            <w:tcW w:w="773" w:type="pct"/>
            <w:tcBorders>
              <w:top w:val="nil"/>
              <w:bottom w:val="single" w:sz="4" w:space="0" w:color="auto"/>
            </w:tcBorders>
            <w:shd w:val="clear" w:color="auto" w:fill="auto"/>
            <w:noWrap/>
            <w:vAlign w:val="center"/>
            <w:hideMark/>
          </w:tcPr>
          <w:p w14:paraId="64D33199"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r&gt;3</w:t>
            </w:r>
          </w:p>
        </w:tc>
        <w:tc>
          <w:tcPr>
            <w:tcW w:w="525" w:type="pct"/>
            <w:tcBorders>
              <w:top w:val="nil"/>
              <w:bottom w:val="single" w:sz="4" w:space="0" w:color="auto"/>
            </w:tcBorders>
            <w:shd w:val="clear" w:color="auto" w:fill="auto"/>
            <w:noWrap/>
            <w:vAlign w:val="center"/>
            <w:hideMark/>
          </w:tcPr>
          <w:p w14:paraId="1522AE33" w14:textId="77777777" w:rsidR="00DD7712" w:rsidRPr="0081363B" w:rsidRDefault="00DD7712" w:rsidP="009E6088">
            <w:pPr>
              <w:spacing w:after="0" w:line="240" w:lineRule="auto"/>
              <w:jc w:val="both"/>
              <w:rPr>
                <w:rFonts w:eastAsia="Times New Roman" w:cs="Times New Roman"/>
                <w:color w:val="000000"/>
                <w:sz w:val="20"/>
                <w:szCs w:val="20"/>
              </w:rPr>
            </w:pPr>
            <w:r w:rsidRPr="0081363B">
              <w:rPr>
                <w:rFonts w:eastAsia="Times New Roman" w:cs="Times New Roman"/>
                <w:color w:val="000000"/>
                <w:sz w:val="20"/>
                <w:szCs w:val="20"/>
              </w:rPr>
              <w:t> </w:t>
            </w:r>
          </w:p>
        </w:tc>
        <w:tc>
          <w:tcPr>
            <w:tcW w:w="1131" w:type="pct"/>
            <w:gridSpan w:val="2"/>
            <w:tcBorders>
              <w:top w:val="nil"/>
              <w:bottom w:val="single" w:sz="4" w:space="0" w:color="auto"/>
            </w:tcBorders>
            <w:shd w:val="clear" w:color="auto" w:fill="auto"/>
            <w:noWrap/>
            <w:vAlign w:val="bottom"/>
            <w:hideMark/>
          </w:tcPr>
          <w:p w14:paraId="6E81986A" w14:textId="77777777" w:rsidR="00DD7712" w:rsidRPr="0081363B" w:rsidRDefault="00DD7712" w:rsidP="009E6088">
            <w:pPr>
              <w:spacing w:after="0" w:line="240" w:lineRule="auto"/>
              <w:rPr>
                <w:rFonts w:eastAsia="Times New Roman" w:cs="Times New Roman"/>
                <w:color w:val="000000"/>
                <w:sz w:val="20"/>
                <w:szCs w:val="20"/>
              </w:rPr>
            </w:pPr>
            <w:r w:rsidRPr="0081363B">
              <w:rPr>
                <w:rFonts w:eastAsia="Times New Roman" w:cs="Times New Roman"/>
                <w:color w:val="000000"/>
                <w:sz w:val="20"/>
                <w:szCs w:val="20"/>
              </w:rPr>
              <w:t>0.241218</w:t>
            </w:r>
          </w:p>
        </w:tc>
        <w:tc>
          <w:tcPr>
            <w:tcW w:w="1441" w:type="pct"/>
            <w:tcBorders>
              <w:top w:val="nil"/>
              <w:bottom w:val="single" w:sz="4" w:space="0" w:color="auto"/>
            </w:tcBorders>
            <w:shd w:val="clear" w:color="auto" w:fill="auto"/>
            <w:noWrap/>
            <w:vAlign w:val="bottom"/>
            <w:hideMark/>
          </w:tcPr>
          <w:p w14:paraId="7CC11C0E" w14:textId="77777777" w:rsidR="00DD7712" w:rsidRPr="0081363B" w:rsidRDefault="00DD7712" w:rsidP="009E6088">
            <w:pPr>
              <w:spacing w:after="0" w:line="240" w:lineRule="auto"/>
              <w:rPr>
                <w:rFonts w:eastAsia="Times New Roman" w:cs="Times New Roman"/>
                <w:color w:val="000000"/>
                <w:sz w:val="20"/>
                <w:szCs w:val="20"/>
              </w:rPr>
            </w:pPr>
            <w:r w:rsidRPr="0081363B">
              <w:rPr>
                <w:rFonts w:eastAsia="Times New Roman" w:cs="Times New Roman"/>
                <w:color w:val="000000"/>
                <w:sz w:val="20"/>
                <w:szCs w:val="20"/>
              </w:rPr>
              <w:t>0.241218</w:t>
            </w:r>
          </w:p>
        </w:tc>
      </w:tr>
      <w:tr w:rsidR="00DD7712" w:rsidRPr="00BF2897" w14:paraId="565C3605" w14:textId="77777777" w:rsidTr="00BF2897">
        <w:tblPrEx>
          <w:tblBorders>
            <w:top w:val="none" w:sz="0" w:space="0" w:color="auto"/>
            <w:bottom w:val="none" w:sz="0" w:space="0" w:color="auto"/>
          </w:tblBorders>
          <w:tblLook w:val="06A0" w:firstRow="1" w:lastRow="0" w:firstColumn="1" w:lastColumn="0" w:noHBand="1" w:noVBand="1"/>
        </w:tblPrEx>
        <w:trPr>
          <w:trHeight w:val="316"/>
        </w:trPr>
        <w:tc>
          <w:tcPr>
            <w:tcW w:w="5000" w:type="pct"/>
            <w:gridSpan w:val="8"/>
            <w:tcBorders>
              <w:top w:val="single" w:sz="4" w:space="0" w:color="auto"/>
              <w:bottom w:val="single" w:sz="4" w:space="0" w:color="auto"/>
            </w:tcBorders>
            <w:shd w:val="clear" w:color="auto" w:fill="auto"/>
            <w:noWrap/>
            <w:vAlign w:val="center"/>
            <w:hideMark/>
          </w:tcPr>
          <w:p w14:paraId="5879DE91" w14:textId="77777777" w:rsidR="00DD7712" w:rsidRPr="00BF2897" w:rsidRDefault="00DD7712" w:rsidP="009E6088">
            <w:pPr>
              <w:spacing w:after="0" w:line="240" w:lineRule="auto"/>
              <w:jc w:val="center"/>
              <w:rPr>
                <w:rFonts w:eastAsia="Times New Roman" w:cs="Times New Roman"/>
                <w:color w:val="000000"/>
                <w:sz w:val="18"/>
                <w:szCs w:val="18"/>
              </w:rPr>
            </w:pPr>
            <w:r w:rsidRPr="00BF2897">
              <w:rPr>
                <w:rFonts w:eastAsia="Times New Roman" w:cs="Times New Roman"/>
                <w:color w:val="000000"/>
                <w:sz w:val="18"/>
                <w:szCs w:val="18"/>
              </w:rPr>
              <w:t>Critical values</w:t>
            </w:r>
          </w:p>
        </w:tc>
      </w:tr>
      <w:tr w:rsidR="00DD7712" w:rsidRPr="00BF2897" w14:paraId="4816F5DE" w14:textId="77777777" w:rsidTr="00BF2897">
        <w:tblPrEx>
          <w:tblBorders>
            <w:top w:val="none" w:sz="0" w:space="0" w:color="auto"/>
            <w:bottom w:val="none" w:sz="0" w:space="0" w:color="auto"/>
          </w:tblBorders>
          <w:tblLook w:val="06A0" w:firstRow="1" w:lastRow="0" w:firstColumn="1" w:lastColumn="0" w:noHBand="1" w:noVBand="1"/>
        </w:tblPrEx>
        <w:trPr>
          <w:trHeight w:val="316"/>
        </w:trPr>
        <w:tc>
          <w:tcPr>
            <w:tcW w:w="1094" w:type="pct"/>
            <w:gridSpan w:val="2"/>
            <w:tcBorders>
              <w:top w:val="single" w:sz="4" w:space="0" w:color="auto"/>
              <w:bottom w:val="single" w:sz="4" w:space="0" w:color="auto"/>
            </w:tcBorders>
            <w:shd w:val="clear" w:color="auto" w:fill="auto"/>
            <w:vAlign w:val="center"/>
            <w:hideMark/>
          </w:tcPr>
          <w:p w14:paraId="389AB403"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Significance Level 5%</w:t>
            </w:r>
          </w:p>
        </w:tc>
        <w:tc>
          <w:tcPr>
            <w:tcW w:w="1661" w:type="pct"/>
            <w:gridSpan w:val="4"/>
            <w:tcBorders>
              <w:top w:val="single" w:sz="4" w:space="0" w:color="auto"/>
              <w:bottom w:val="single" w:sz="4" w:space="0" w:color="auto"/>
            </w:tcBorders>
            <w:shd w:val="clear" w:color="auto" w:fill="auto"/>
            <w:noWrap/>
            <w:vAlign w:val="center"/>
            <w:hideMark/>
          </w:tcPr>
          <w:p w14:paraId="21F8B653"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Trace Statistic</w:t>
            </w:r>
          </w:p>
        </w:tc>
        <w:tc>
          <w:tcPr>
            <w:tcW w:w="2245" w:type="pct"/>
            <w:gridSpan w:val="2"/>
            <w:tcBorders>
              <w:top w:val="single" w:sz="4" w:space="0" w:color="auto"/>
              <w:bottom w:val="single" w:sz="4" w:space="0" w:color="auto"/>
            </w:tcBorders>
            <w:shd w:val="clear" w:color="auto" w:fill="auto"/>
            <w:noWrap/>
            <w:vAlign w:val="center"/>
            <w:hideMark/>
          </w:tcPr>
          <w:p w14:paraId="5D7762D2"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Max-Eigen Statistic</w:t>
            </w:r>
          </w:p>
        </w:tc>
      </w:tr>
      <w:tr w:rsidR="00DD7712" w:rsidRPr="00BF2897" w14:paraId="3C6BF502" w14:textId="77777777" w:rsidTr="00BF2897">
        <w:tblPrEx>
          <w:tblBorders>
            <w:top w:val="none" w:sz="0" w:space="0" w:color="auto"/>
            <w:bottom w:val="none" w:sz="0" w:space="0" w:color="auto"/>
          </w:tblBorders>
          <w:tblLook w:val="06A0" w:firstRow="1" w:lastRow="0" w:firstColumn="1" w:lastColumn="0" w:noHBand="1" w:noVBand="1"/>
        </w:tblPrEx>
        <w:trPr>
          <w:trHeight w:val="316"/>
        </w:trPr>
        <w:tc>
          <w:tcPr>
            <w:tcW w:w="562" w:type="pct"/>
            <w:tcBorders>
              <w:top w:val="single" w:sz="4" w:space="0" w:color="auto"/>
            </w:tcBorders>
            <w:shd w:val="clear" w:color="auto" w:fill="auto"/>
            <w:noWrap/>
            <w:vAlign w:val="center"/>
            <w:hideMark/>
          </w:tcPr>
          <w:p w14:paraId="7F0D5A9A"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r = 0</w:t>
            </w:r>
          </w:p>
        </w:tc>
        <w:tc>
          <w:tcPr>
            <w:tcW w:w="532" w:type="pct"/>
            <w:tcBorders>
              <w:top w:val="single" w:sz="4" w:space="0" w:color="auto"/>
            </w:tcBorders>
            <w:shd w:val="clear" w:color="auto" w:fill="auto"/>
            <w:noWrap/>
            <w:vAlign w:val="center"/>
            <w:hideMark/>
          </w:tcPr>
          <w:p w14:paraId="3E59BA9C"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r &gt; 0</w:t>
            </w:r>
          </w:p>
        </w:tc>
        <w:tc>
          <w:tcPr>
            <w:tcW w:w="1661" w:type="pct"/>
            <w:gridSpan w:val="4"/>
            <w:tcBorders>
              <w:top w:val="single" w:sz="4" w:space="0" w:color="auto"/>
            </w:tcBorders>
            <w:shd w:val="clear" w:color="auto" w:fill="auto"/>
            <w:noWrap/>
            <w:vAlign w:val="center"/>
            <w:hideMark/>
          </w:tcPr>
          <w:p w14:paraId="1358C578"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47.85613</w:t>
            </w:r>
          </w:p>
        </w:tc>
        <w:tc>
          <w:tcPr>
            <w:tcW w:w="2245" w:type="pct"/>
            <w:gridSpan w:val="2"/>
            <w:tcBorders>
              <w:top w:val="single" w:sz="4" w:space="0" w:color="auto"/>
            </w:tcBorders>
            <w:shd w:val="clear" w:color="auto" w:fill="auto"/>
            <w:noWrap/>
            <w:vAlign w:val="center"/>
            <w:hideMark/>
          </w:tcPr>
          <w:p w14:paraId="4F9C5B6B"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27.58434</w:t>
            </w:r>
          </w:p>
        </w:tc>
      </w:tr>
      <w:tr w:rsidR="000D0CA6" w:rsidRPr="00BF2897" w14:paraId="0413E262" w14:textId="77777777" w:rsidTr="000D0CA6">
        <w:tblPrEx>
          <w:tblBorders>
            <w:top w:val="none" w:sz="0" w:space="0" w:color="auto"/>
            <w:bottom w:val="none" w:sz="0" w:space="0" w:color="auto"/>
          </w:tblBorders>
          <w:tblLook w:val="06A0" w:firstRow="1" w:lastRow="0" w:firstColumn="1" w:lastColumn="0" w:noHBand="1" w:noVBand="1"/>
        </w:tblPrEx>
        <w:trPr>
          <w:trHeight w:val="316"/>
        </w:trPr>
        <w:tc>
          <w:tcPr>
            <w:tcW w:w="562" w:type="pct"/>
            <w:shd w:val="clear" w:color="auto" w:fill="auto"/>
            <w:noWrap/>
            <w:vAlign w:val="center"/>
            <w:hideMark/>
          </w:tcPr>
          <w:p w14:paraId="14A31F1A"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r ≤ 1</w:t>
            </w:r>
          </w:p>
        </w:tc>
        <w:tc>
          <w:tcPr>
            <w:tcW w:w="532" w:type="pct"/>
            <w:shd w:val="clear" w:color="auto" w:fill="auto"/>
            <w:noWrap/>
            <w:vAlign w:val="center"/>
            <w:hideMark/>
          </w:tcPr>
          <w:p w14:paraId="50ECE5F6"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r &gt; 1</w:t>
            </w:r>
          </w:p>
        </w:tc>
        <w:tc>
          <w:tcPr>
            <w:tcW w:w="1661" w:type="pct"/>
            <w:gridSpan w:val="4"/>
            <w:shd w:val="clear" w:color="auto" w:fill="auto"/>
            <w:noWrap/>
            <w:vAlign w:val="center"/>
            <w:hideMark/>
          </w:tcPr>
          <w:p w14:paraId="2B3EED14"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29.79707</w:t>
            </w:r>
          </w:p>
        </w:tc>
        <w:tc>
          <w:tcPr>
            <w:tcW w:w="2245" w:type="pct"/>
            <w:gridSpan w:val="2"/>
            <w:shd w:val="clear" w:color="auto" w:fill="auto"/>
            <w:noWrap/>
            <w:vAlign w:val="center"/>
            <w:hideMark/>
          </w:tcPr>
          <w:p w14:paraId="2819E285"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21.13162</w:t>
            </w:r>
          </w:p>
        </w:tc>
      </w:tr>
      <w:tr w:rsidR="00DD7712" w:rsidRPr="00BF2897" w14:paraId="763C7CC1" w14:textId="77777777" w:rsidTr="009E4951">
        <w:tblPrEx>
          <w:tblBorders>
            <w:top w:val="none" w:sz="0" w:space="0" w:color="auto"/>
            <w:bottom w:val="none" w:sz="0" w:space="0" w:color="auto"/>
          </w:tblBorders>
          <w:tblLook w:val="06A0" w:firstRow="1" w:lastRow="0" w:firstColumn="1" w:lastColumn="0" w:noHBand="1" w:noVBand="1"/>
        </w:tblPrEx>
        <w:trPr>
          <w:trHeight w:val="316"/>
        </w:trPr>
        <w:tc>
          <w:tcPr>
            <w:tcW w:w="562" w:type="pct"/>
            <w:shd w:val="clear" w:color="auto" w:fill="auto"/>
            <w:noWrap/>
            <w:vAlign w:val="center"/>
          </w:tcPr>
          <w:p w14:paraId="09E089D2"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r ≤ 2</w:t>
            </w:r>
          </w:p>
        </w:tc>
        <w:tc>
          <w:tcPr>
            <w:tcW w:w="532" w:type="pct"/>
            <w:shd w:val="clear" w:color="auto" w:fill="auto"/>
            <w:noWrap/>
            <w:vAlign w:val="center"/>
          </w:tcPr>
          <w:p w14:paraId="0613E3F5"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r &gt; 2</w:t>
            </w:r>
          </w:p>
        </w:tc>
        <w:tc>
          <w:tcPr>
            <w:tcW w:w="1661" w:type="pct"/>
            <w:gridSpan w:val="4"/>
            <w:shd w:val="clear" w:color="auto" w:fill="auto"/>
            <w:noWrap/>
            <w:vAlign w:val="center"/>
          </w:tcPr>
          <w:p w14:paraId="441CD6FD"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15.49471</w:t>
            </w:r>
          </w:p>
        </w:tc>
        <w:tc>
          <w:tcPr>
            <w:tcW w:w="2245" w:type="pct"/>
            <w:gridSpan w:val="2"/>
            <w:shd w:val="clear" w:color="auto" w:fill="auto"/>
            <w:noWrap/>
            <w:vAlign w:val="center"/>
          </w:tcPr>
          <w:p w14:paraId="21708F77"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14.2646</w:t>
            </w:r>
          </w:p>
        </w:tc>
      </w:tr>
      <w:tr w:rsidR="00DD7712" w:rsidRPr="00BF2897" w14:paraId="3DD11043" w14:textId="77777777" w:rsidTr="009E4951">
        <w:tblPrEx>
          <w:tblBorders>
            <w:top w:val="none" w:sz="0" w:space="0" w:color="auto"/>
            <w:bottom w:val="none" w:sz="0" w:space="0" w:color="auto"/>
          </w:tblBorders>
          <w:tblLook w:val="06A0" w:firstRow="1" w:lastRow="0" w:firstColumn="1" w:lastColumn="0" w:noHBand="1" w:noVBand="1"/>
        </w:tblPrEx>
        <w:trPr>
          <w:trHeight w:val="316"/>
        </w:trPr>
        <w:tc>
          <w:tcPr>
            <w:tcW w:w="562" w:type="pct"/>
            <w:tcBorders>
              <w:bottom w:val="single" w:sz="12" w:space="0" w:color="auto"/>
            </w:tcBorders>
            <w:shd w:val="clear" w:color="auto" w:fill="auto"/>
            <w:noWrap/>
            <w:vAlign w:val="center"/>
          </w:tcPr>
          <w:p w14:paraId="098ADE9E"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r ≤ 3</w:t>
            </w:r>
          </w:p>
        </w:tc>
        <w:tc>
          <w:tcPr>
            <w:tcW w:w="532" w:type="pct"/>
            <w:tcBorders>
              <w:bottom w:val="single" w:sz="12" w:space="0" w:color="auto"/>
            </w:tcBorders>
            <w:shd w:val="clear" w:color="auto" w:fill="auto"/>
            <w:noWrap/>
            <w:vAlign w:val="center"/>
          </w:tcPr>
          <w:p w14:paraId="2F8B1975"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r &gt; 3</w:t>
            </w:r>
          </w:p>
        </w:tc>
        <w:tc>
          <w:tcPr>
            <w:tcW w:w="1661" w:type="pct"/>
            <w:gridSpan w:val="4"/>
            <w:tcBorders>
              <w:bottom w:val="single" w:sz="12" w:space="0" w:color="auto"/>
            </w:tcBorders>
            <w:shd w:val="clear" w:color="auto" w:fill="auto"/>
            <w:noWrap/>
            <w:vAlign w:val="center"/>
          </w:tcPr>
          <w:p w14:paraId="065C70FA"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3.841466</w:t>
            </w:r>
          </w:p>
        </w:tc>
        <w:tc>
          <w:tcPr>
            <w:tcW w:w="2245" w:type="pct"/>
            <w:gridSpan w:val="2"/>
            <w:tcBorders>
              <w:bottom w:val="single" w:sz="12" w:space="0" w:color="auto"/>
            </w:tcBorders>
            <w:shd w:val="clear" w:color="auto" w:fill="auto"/>
            <w:noWrap/>
            <w:vAlign w:val="center"/>
          </w:tcPr>
          <w:p w14:paraId="2366E7A3" w14:textId="77777777" w:rsidR="00DD7712" w:rsidRPr="00BF2897" w:rsidRDefault="00DD7712" w:rsidP="009E6088">
            <w:pPr>
              <w:spacing w:after="0" w:line="240" w:lineRule="auto"/>
              <w:jc w:val="both"/>
              <w:rPr>
                <w:rFonts w:eastAsia="Times New Roman" w:cs="Times New Roman"/>
                <w:color w:val="000000"/>
                <w:sz w:val="18"/>
                <w:szCs w:val="18"/>
              </w:rPr>
            </w:pPr>
            <w:r w:rsidRPr="00BF2897">
              <w:rPr>
                <w:rFonts w:eastAsia="Times New Roman" w:cs="Times New Roman"/>
                <w:color w:val="000000"/>
                <w:sz w:val="18"/>
                <w:szCs w:val="18"/>
              </w:rPr>
              <w:t>3.841466</w:t>
            </w:r>
          </w:p>
        </w:tc>
      </w:tr>
    </w:tbl>
    <w:p w14:paraId="5ADC28F2" w14:textId="77777777" w:rsidR="00AE0834" w:rsidRPr="00AE0834" w:rsidRDefault="00AE0834" w:rsidP="009E6088">
      <w:pPr>
        <w:pStyle w:val="NoSpacing"/>
        <w:rPr>
          <w:rFonts w:ascii="Times New Roman" w:hAnsi="Times New Roman" w:cs="Times New Roman"/>
          <w:sz w:val="20"/>
          <w:szCs w:val="20"/>
        </w:rPr>
      </w:pPr>
      <w:r w:rsidRPr="00AE0834">
        <w:rPr>
          <w:rFonts w:ascii="Times New Roman" w:hAnsi="Times New Roman" w:cs="Times New Roman"/>
          <w:i/>
          <w:iCs/>
          <w:sz w:val="20"/>
          <w:szCs w:val="20"/>
        </w:rPr>
        <w:t>Source:</w:t>
      </w:r>
      <w:r w:rsidRPr="00AE0834">
        <w:rPr>
          <w:rFonts w:ascii="Times New Roman" w:hAnsi="Times New Roman" w:cs="Times New Roman"/>
          <w:sz w:val="20"/>
          <w:szCs w:val="20"/>
        </w:rPr>
        <w:t xml:space="preserve"> Authors' estimation, </w:t>
      </w:r>
      <w:r w:rsidRPr="00AE0834">
        <w:rPr>
          <w:rFonts w:ascii="Times New Roman" w:hAnsi="Times New Roman" w:cs="Times New Roman"/>
          <w:sz w:val="20"/>
          <w:szCs w:val="20"/>
          <w:vertAlign w:val="superscript"/>
        </w:rPr>
        <w:t>a</w:t>
      </w:r>
      <w:r w:rsidRPr="00AE0834">
        <w:rPr>
          <w:rFonts w:ascii="Times New Roman" w:hAnsi="Times New Roman" w:cs="Times New Roman"/>
          <w:sz w:val="20"/>
          <w:szCs w:val="20"/>
        </w:rPr>
        <w:t xml:space="preserve"> denotes rejection at 95% critical level</w:t>
      </w:r>
    </w:p>
    <w:p w14:paraId="6C2B795F" w14:textId="77777777" w:rsidR="00AE0834" w:rsidRDefault="00AE0834" w:rsidP="009E6088">
      <w:pPr>
        <w:spacing w:line="240" w:lineRule="auto"/>
        <w:ind w:left="720"/>
        <w:jc w:val="both"/>
        <w:rPr>
          <w:rFonts w:cs="Times New Roman"/>
          <w:szCs w:val="24"/>
        </w:rPr>
      </w:pPr>
    </w:p>
    <w:p w14:paraId="1476DA6E" w14:textId="4AD48430" w:rsidR="00DD7712" w:rsidRDefault="00DD7712" w:rsidP="009E6088">
      <w:pPr>
        <w:pStyle w:val="NormalWeb"/>
        <w:shd w:val="clear" w:color="auto" w:fill="FFFFFF"/>
        <w:spacing w:before="0" w:beforeAutospacing="0" w:after="0" w:afterAutospacing="0"/>
        <w:ind w:firstLine="720"/>
        <w:jc w:val="both"/>
        <w:rPr>
          <w:bCs/>
        </w:rPr>
      </w:pPr>
      <w:r w:rsidRPr="00B969BE">
        <w:rPr>
          <w:bCs/>
        </w:rPr>
        <w:t xml:space="preserve">Having concluded that the stock markets before the event of global financial crisis were not cointegrated and that the stock markets after the event of global financial crisis to be cointegrated, I formally </w:t>
      </w:r>
      <w:proofErr w:type="spellStart"/>
      <w:r w:rsidRPr="00B969BE">
        <w:rPr>
          <w:bCs/>
        </w:rPr>
        <w:t>analyse</w:t>
      </w:r>
      <w:proofErr w:type="spellEnd"/>
      <w:r w:rsidRPr="00B969BE">
        <w:rPr>
          <w:bCs/>
        </w:rPr>
        <w:t xml:space="preserve"> the data post the global financial crisis. The presence of cointegration allows to produce VECMs exploring short run and long run dynamics, testing the imposition of restrictions on the coefficients of the long-run cointegrating vector, constructing variance decomposition and generating impulse response functions.</w:t>
      </w:r>
    </w:p>
    <w:p w14:paraId="55E00AF7" w14:textId="77777777" w:rsidR="00B969BE" w:rsidRPr="00B969BE" w:rsidRDefault="00B969BE" w:rsidP="009E6088">
      <w:pPr>
        <w:pStyle w:val="NormalWeb"/>
        <w:shd w:val="clear" w:color="auto" w:fill="FFFFFF"/>
        <w:spacing w:before="0" w:beforeAutospacing="0" w:after="0" w:afterAutospacing="0"/>
        <w:ind w:firstLine="720"/>
        <w:jc w:val="both"/>
        <w:rPr>
          <w:bCs/>
        </w:rPr>
      </w:pPr>
    </w:p>
    <w:p w14:paraId="2EA662B6" w14:textId="74B04D36" w:rsidR="00DD7712" w:rsidRPr="00B969BE" w:rsidRDefault="00DD7712" w:rsidP="00AB13D4">
      <w:pPr>
        <w:pStyle w:val="Heading2"/>
      </w:pPr>
      <w:r w:rsidRPr="00276DEF">
        <w:t xml:space="preserve">Testing </w:t>
      </w:r>
      <w:r w:rsidR="009C4638">
        <w:t>t</w:t>
      </w:r>
      <w:r w:rsidR="00B969BE" w:rsidRPr="00276DEF">
        <w:t xml:space="preserve">he Imposition </w:t>
      </w:r>
      <w:r w:rsidR="00B969BE">
        <w:t>o</w:t>
      </w:r>
      <w:r w:rsidR="00B969BE" w:rsidRPr="00276DEF">
        <w:t xml:space="preserve">f Restrictions </w:t>
      </w:r>
      <w:r w:rsidR="00B969BE">
        <w:t>o</w:t>
      </w:r>
      <w:r w:rsidR="00B969BE" w:rsidRPr="00276DEF">
        <w:t xml:space="preserve">n </w:t>
      </w:r>
      <w:r w:rsidR="00B969BE">
        <w:t>t</w:t>
      </w:r>
      <w:r w:rsidR="00B969BE" w:rsidRPr="00276DEF">
        <w:t xml:space="preserve">he Coefficients </w:t>
      </w:r>
      <w:r w:rsidR="00B969BE">
        <w:t>o</w:t>
      </w:r>
      <w:r w:rsidR="00B969BE" w:rsidRPr="00276DEF">
        <w:t xml:space="preserve">f </w:t>
      </w:r>
      <w:r w:rsidR="00B969BE">
        <w:t>t</w:t>
      </w:r>
      <w:r w:rsidR="00B969BE" w:rsidRPr="00276DEF">
        <w:t>he Long-Run Cointegrating</w:t>
      </w:r>
      <w:r w:rsidR="00B969BE">
        <w:t xml:space="preserve"> </w:t>
      </w:r>
      <w:r w:rsidR="00B969BE" w:rsidRPr="00276DEF">
        <w:t xml:space="preserve">Vector Computed Through </w:t>
      </w:r>
      <w:r w:rsidRPr="00276DEF">
        <w:t xml:space="preserve">JJ </w:t>
      </w:r>
      <w:r w:rsidR="00B969BE" w:rsidRPr="00276DEF">
        <w:t>Methodology</w:t>
      </w:r>
    </w:p>
    <w:p w14:paraId="4025B529" w14:textId="6D58F5D6" w:rsidR="00DD7712" w:rsidRDefault="00DD7712" w:rsidP="009E6088">
      <w:pPr>
        <w:pStyle w:val="NormalWeb"/>
        <w:shd w:val="clear" w:color="auto" w:fill="FFFFFF"/>
        <w:spacing w:before="0" w:beforeAutospacing="0" w:after="0" w:afterAutospacing="0"/>
        <w:ind w:firstLine="720"/>
        <w:jc w:val="both"/>
        <w:rPr>
          <w:bCs/>
        </w:rPr>
      </w:pPr>
      <w:r w:rsidRPr="00B969BE">
        <w:rPr>
          <w:bCs/>
        </w:rPr>
        <w:t xml:space="preserve">After estimating a cointegrating relationship in each of the four models is to test the exogeneity of the variables in each of the long-run cointegrating vector. The Johansen method allows us to impose restrictions on the coefficients of the long-run cointegrating vector and then testing the significance of the test statistic result. These test statistics are chi-square distributed and are distributed asymptotically. Analyzing the cointegration vector allows us to determine the most important component in the vector. The results are reported in Table </w:t>
      </w:r>
      <w:r w:rsidR="00B969BE">
        <w:rPr>
          <w:bCs/>
        </w:rPr>
        <w:t>4</w:t>
      </w:r>
      <w:r w:rsidRPr="00B969BE">
        <w:rPr>
          <w:bCs/>
        </w:rPr>
        <w:t>.3.</w:t>
      </w:r>
    </w:p>
    <w:p w14:paraId="652378F7" w14:textId="77777777" w:rsidR="00B969BE" w:rsidRPr="00B969BE" w:rsidRDefault="00B969BE" w:rsidP="009E6088">
      <w:pPr>
        <w:pStyle w:val="NormalWeb"/>
        <w:shd w:val="clear" w:color="auto" w:fill="FFFFFF"/>
        <w:spacing w:before="0" w:beforeAutospacing="0" w:after="0" w:afterAutospacing="0"/>
        <w:ind w:firstLine="720"/>
        <w:jc w:val="both"/>
        <w:rPr>
          <w:bCs/>
        </w:rPr>
      </w:pPr>
    </w:p>
    <w:p w14:paraId="6EBC3735" w14:textId="7B63C786" w:rsidR="00B969BE" w:rsidRDefault="00DD7712" w:rsidP="009E6088">
      <w:pPr>
        <w:pStyle w:val="NoSpacing"/>
        <w:rPr>
          <w:rFonts w:ascii="Times New Roman" w:eastAsia="Times New Roman" w:hAnsi="Times New Roman" w:cs="Times New Roman"/>
          <w:b/>
          <w:sz w:val="20"/>
          <w:szCs w:val="20"/>
        </w:rPr>
      </w:pPr>
      <w:r w:rsidRPr="00B969BE">
        <w:rPr>
          <w:rFonts w:ascii="Times New Roman" w:eastAsia="Times New Roman" w:hAnsi="Times New Roman" w:cs="Times New Roman"/>
          <w:b/>
          <w:sz w:val="20"/>
          <w:szCs w:val="20"/>
        </w:rPr>
        <w:t xml:space="preserve">Table </w:t>
      </w:r>
      <w:r w:rsidR="00B969BE">
        <w:rPr>
          <w:rFonts w:ascii="Times New Roman" w:eastAsia="Times New Roman" w:hAnsi="Times New Roman" w:cs="Times New Roman"/>
          <w:b/>
          <w:sz w:val="20"/>
          <w:szCs w:val="20"/>
        </w:rPr>
        <w:t>4</w:t>
      </w:r>
      <w:r w:rsidRPr="00B969BE">
        <w:rPr>
          <w:rFonts w:ascii="Times New Roman" w:eastAsia="Times New Roman" w:hAnsi="Times New Roman" w:cs="Times New Roman"/>
          <w:b/>
          <w:sz w:val="20"/>
          <w:szCs w:val="20"/>
        </w:rPr>
        <w:t>.3</w:t>
      </w:r>
    </w:p>
    <w:p w14:paraId="01A3C5F5" w14:textId="3DEA5205" w:rsidR="00DD7712" w:rsidRPr="00B969BE" w:rsidRDefault="00DD7712" w:rsidP="009E6088">
      <w:pPr>
        <w:pStyle w:val="NoSpacing"/>
        <w:rPr>
          <w:rFonts w:ascii="Times New Roman" w:eastAsia="Times New Roman" w:hAnsi="Times New Roman" w:cs="Times New Roman"/>
          <w:b/>
          <w:i/>
          <w:iCs/>
          <w:sz w:val="20"/>
          <w:szCs w:val="20"/>
        </w:rPr>
      </w:pPr>
      <w:r w:rsidRPr="00B969BE">
        <w:rPr>
          <w:rFonts w:ascii="Times New Roman" w:eastAsia="Times New Roman" w:hAnsi="Times New Roman" w:cs="Times New Roman"/>
          <w:b/>
          <w:i/>
          <w:iCs/>
          <w:sz w:val="20"/>
          <w:szCs w:val="20"/>
        </w:rPr>
        <w:t>Results of testing the imposition of restrictions on the coefficients of the long-run cointegrating vector computed through JJ methodology</w:t>
      </w:r>
    </w:p>
    <w:tbl>
      <w:tblPr>
        <w:tblW w:w="4928" w:type="pct"/>
        <w:tblBorders>
          <w:top w:val="single" w:sz="12" w:space="0" w:color="auto"/>
          <w:bottom w:val="single" w:sz="12" w:space="0" w:color="auto"/>
        </w:tblBorders>
        <w:tblLook w:val="04A0" w:firstRow="1" w:lastRow="0" w:firstColumn="1" w:lastColumn="0" w:noHBand="0" w:noVBand="1"/>
      </w:tblPr>
      <w:tblGrid>
        <w:gridCol w:w="2036"/>
        <w:gridCol w:w="1029"/>
        <w:gridCol w:w="1029"/>
        <w:gridCol w:w="1029"/>
        <w:gridCol w:w="1069"/>
      </w:tblGrid>
      <w:tr w:rsidR="009C4638" w:rsidRPr="00B969BE" w14:paraId="1A5764B0" w14:textId="77777777" w:rsidTr="009C4638">
        <w:trPr>
          <w:trHeight w:val="323"/>
        </w:trPr>
        <w:tc>
          <w:tcPr>
            <w:tcW w:w="5000" w:type="pct"/>
            <w:gridSpan w:val="5"/>
            <w:tcBorders>
              <w:top w:val="single" w:sz="12" w:space="0" w:color="auto"/>
              <w:bottom w:val="single" w:sz="12" w:space="0" w:color="auto"/>
            </w:tcBorders>
            <w:noWrap/>
            <w:vAlign w:val="center"/>
          </w:tcPr>
          <w:p w14:paraId="3641EE15" w14:textId="579AB20D" w:rsidR="009C4638" w:rsidRPr="00B969BE" w:rsidRDefault="009C4638" w:rsidP="009E6088">
            <w:pPr>
              <w:spacing w:after="0" w:line="240" w:lineRule="auto"/>
              <w:ind w:left="50"/>
              <w:jc w:val="center"/>
              <w:rPr>
                <w:rFonts w:eastAsia="Times New Roman" w:cs="Times New Roman"/>
                <w:bCs/>
                <w:color w:val="000000"/>
                <w:sz w:val="20"/>
                <w:szCs w:val="20"/>
              </w:rPr>
            </w:pPr>
            <w:r w:rsidRPr="00B969BE">
              <w:rPr>
                <w:rFonts w:eastAsia="Times New Roman" w:cs="Times New Roman"/>
                <w:bCs/>
                <w:color w:val="000000"/>
                <w:sz w:val="20"/>
                <w:szCs w:val="20"/>
              </w:rPr>
              <w:t>The Model involving (SPI)</w:t>
            </w:r>
          </w:p>
        </w:tc>
      </w:tr>
      <w:tr w:rsidR="009C4638" w:rsidRPr="00B969BE" w14:paraId="605C9C39" w14:textId="77777777" w:rsidTr="009C4638">
        <w:trPr>
          <w:trHeight w:val="323"/>
        </w:trPr>
        <w:tc>
          <w:tcPr>
            <w:tcW w:w="1644" w:type="pct"/>
            <w:tcBorders>
              <w:top w:val="single" w:sz="12" w:space="0" w:color="auto"/>
            </w:tcBorders>
            <w:noWrap/>
            <w:vAlign w:val="bottom"/>
            <w:hideMark/>
          </w:tcPr>
          <w:p w14:paraId="35DCE69A" w14:textId="77777777" w:rsidR="009C4638" w:rsidRPr="00B969BE" w:rsidRDefault="009C4638" w:rsidP="009E6088">
            <w:pPr>
              <w:spacing w:after="0" w:line="240" w:lineRule="auto"/>
              <w:jc w:val="both"/>
              <w:rPr>
                <w:rFonts w:eastAsia="Times New Roman" w:cs="Times New Roman"/>
                <w:bCs/>
                <w:color w:val="000000"/>
                <w:sz w:val="20"/>
                <w:szCs w:val="20"/>
              </w:rPr>
            </w:pPr>
            <w:r w:rsidRPr="00B969BE">
              <w:rPr>
                <w:rFonts w:eastAsia="Times New Roman" w:cs="Times New Roman"/>
                <w:bCs/>
                <w:color w:val="000000"/>
                <w:sz w:val="20"/>
                <w:szCs w:val="20"/>
              </w:rPr>
              <w:t>Test</w:t>
            </w:r>
          </w:p>
        </w:tc>
        <w:tc>
          <w:tcPr>
            <w:tcW w:w="831" w:type="pct"/>
            <w:tcBorders>
              <w:top w:val="single" w:sz="12" w:space="0" w:color="auto"/>
            </w:tcBorders>
            <w:noWrap/>
            <w:vAlign w:val="bottom"/>
            <w:hideMark/>
          </w:tcPr>
          <w:p w14:paraId="4579AD24" w14:textId="77777777" w:rsidR="009C4638" w:rsidRPr="00B969BE" w:rsidRDefault="009C4638" w:rsidP="009E6088">
            <w:pPr>
              <w:spacing w:after="0" w:line="240" w:lineRule="auto"/>
              <w:ind w:left="-40"/>
              <w:jc w:val="both"/>
              <w:rPr>
                <w:rFonts w:eastAsia="Times New Roman" w:cs="Times New Roman"/>
                <w:bCs/>
                <w:color w:val="000000"/>
                <w:sz w:val="20"/>
                <w:szCs w:val="20"/>
              </w:rPr>
            </w:pPr>
            <w:r w:rsidRPr="00B969BE">
              <w:rPr>
                <w:rFonts w:eastAsia="Times New Roman" w:cs="Times New Roman"/>
                <w:bCs/>
                <w:color w:val="000000"/>
                <w:sz w:val="20"/>
                <w:szCs w:val="20"/>
              </w:rPr>
              <w:t>USA</w:t>
            </w:r>
          </w:p>
        </w:tc>
        <w:tc>
          <w:tcPr>
            <w:tcW w:w="831" w:type="pct"/>
            <w:tcBorders>
              <w:top w:val="single" w:sz="12" w:space="0" w:color="auto"/>
            </w:tcBorders>
            <w:noWrap/>
            <w:vAlign w:val="bottom"/>
            <w:hideMark/>
          </w:tcPr>
          <w:p w14:paraId="67F41E36" w14:textId="77777777" w:rsidR="009C4638" w:rsidRPr="00B969BE" w:rsidRDefault="009C4638" w:rsidP="009E6088">
            <w:pPr>
              <w:spacing w:after="0" w:line="240" w:lineRule="auto"/>
              <w:ind w:left="-50"/>
              <w:jc w:val="both"/>
              <w:rPr>
                <w:rFonts w:eastAsia="Times New Roman" w:cs="Times New Roman"/>
                <w:bCs/>
                <w:color w:val="000000"/>
                <w:sz w:val="20"/>
                <w:szCs w:val="20"/>
              </w:rPr>
            </w:pPr>
            <w:r w:rsidRPr="00B969BE">
              <w:rPr>
                <w:rFonts w:eastAsia="Times New Roman" w:cs="Times New Roman"/>
                <w:bCs/>
                <w:color w:val="000000"/>
                <w:sz w:val="20"/>
                <w:szCs w:val="20"/>
              </w:rPr>
              <w:t>UK</w:t>
            </w:r>
          </w:p>
        </w:tc>
        <w:tc>
          <w:tcPr>
            <w:tcW w:w="831" w:type="pct"/>
            <w:tcBorders>
              <w:top w:val="single" w:sz="12" w:space="0" w:color="auto"/>
            </w:tcBorders>
            <w:noWrap/>
            <w:vAlign w:val="bottom"/>
            <w:hideMark/>
          </w:tcPr>
          <w:p w14:paraId="1B37D92F" w14:textId="77777777" w:rsidR="009C4638" w:rsidRPr="00B969BE" w:rsidRDefault="009C4638" w:rsidP="009E6088">
            <w:pPr>
              <w:spacing w:after="0" w:line="240" w:lineRule="auto"/>
              <w:jc w:val="both"/>
              <w:rPr>
                <w:rFonts w:eastAsia="Times New Roman" w:cs="Times New Roman"/>
                <w:bCs/>
                <w:color w:val="000000"/>
                <w:sz w:val="20"/>
                <w:szCs w:val="20"/>
              </w:rPr>
            </w:pPr>
            <w:r w:rsidRPr="00B969BE">
              <w:rPr>
                <w:rFonts w:eastAsia="Times New Roman" w:cs="Times New Roman"/>
                <w:bCs/>
                <w:color w:val="000000"/>
                <w:sz w:val="20"/>
                <w:szCs w:val="20"/>
              </w:rPr>
              <w:t xml:space="preserve">GER </w:t>
            </w:r>
          </w:p>
        </w:tc>
        <w:tc>
          <w:tcPr>
            <w:tcW w:w="863" w:type="pct"/>
            <w:tcBorders>
              <w:top w:val="single" w:sz="12" w:space="0" w:color="auto"/>
            </w:tcBorders>
            <w:noWrap/>
            <w:vAlign w:val="bottom"/>
            <w:hideMark/>
          </w:tcPr>
          <w:p w14:paraId="48939233" w14:textId="77777777" w:rsidR="009C4638" w:rsidRPr="00B969BE" w:rsidRDefault="009C4638" w:rsidP="009E6088">
            <w:pPr>
              <w:spacing w:after="0" w:line="240" w:lineRule="auto"/>
              <w:ind w:left="50"/>
              <w:jc w:val="both"/>
              <w:rPr>
                <w:rFonts w:eastAsia="Times New Roman" w:cs="Times New Roman"/>
                <w:bCs/>
                <w:color w:val="000000"/>
                <w:sz w:val="20"/>
                <w:szCs w:val="20"/>
              </w:rPr>
            </w:pPr>
            <w:r w:rsidRPr="00B969BE">
              <w:rPr>
                <w:rFonts w:eastAsia="Times New Roman" w:cs="Times New Roman"/>
                <w:bCs/>
                <w:color w:val="000000"/>
                <w:sz w:val="20"/>
                <w:szCs w:val="20"/>
              </w:rPr>
              <w:t>JN</w:t>
            </w:r>
          </w:p>
        </w:tc>
      </w:tr>
      <w:tr w:rsidR="009C4638" w:rsidRPr="00B969BE" w14:paraId="5EA77480" w14:textId="77777777" w:rsidTr="009C4638">
        <w:trPr>
          <w:trHeight w:val="260"/>
        </w:trPr>
        <w:tc>
          <w:tcPr>
            <w:tcW w:w="1644" w:type="pct"/>
            <w:noWrap/>
            <w:vAlign w:val="bottom"/>
            <w:hideMark/>
          </w:tcPr>
          <w:p w14:paraId="39FE5B2B" w14:textId="77777777" w:rsidR="009C4638" w:rsidRPr="00B969BE" w:rsidRDefault="009C4638" w:rsidP="009E6088">
            <w:pPr>
              <w:spacing w:after="0" w:line="240" w:lineRule="auto"/>
              <w:jc w:val="both"/>
              <w:rPr>
                <w:rFonts w:eastAsia="Times New Roman" w:cs="Times New Roman"/>
                <w:bCs/>
                <w:color w:val="000000"/>
                <w:sz w:val="20"/>
                <w:szCs w:val="20"/>
              </w:rPr>
            </w:pPr>
            <w:r w:rsidRPr="00B969BE">
              <w:rPr>
                <w:rFonts w:eastAsia="Times New Roman" w:cs="Times New Roman"/>
                <w:bCs/>
                <w:color w:val="000000"/>
                <w:sz w:val="20"/>
                <w:szCs w:val="20"/>
              </w:rPr>
              <w:t>SPI=0</w:t>
            </w:r>
          </w:p>
        </w:tc>
        <w:tc>
          <w:tcPr>
            <w:tcW w:w="831" w:type="pct"/>
            <w:noWrap/>
            <w:vAlign w:val="center"/>
            <w:hideMark/>
          </w:tcPr>
          <w:p w14:paraId="06EA7E3D" w14:textId="77777777" w:rsidR="009C4638" w:rsidRPr="00B969BE" w:rsidRDefault="009C4638" w:rsidP="009E6088">
            <w:pPr>
              <w:spacing w:after="0" w:line="240" w:lineRule="auto"/>
              <w:rPr>
                <w:rFonts w:cs="Times New Roman"/>
                <w:bCs/>
                <w:color w:val="000000"/>
                <w:sz w:val="20"/>
                <w:szCs w:val="20"/>
                <w:vertAlign w:val="superscript"/>
              </w:rPr>
            </w:pPr>
            <w:r w:rsidRPr="00B969BE">
              <w:rPr>
                <w:rFonts w:cs="Times New Roman"/>
                <w:bCs/>
                <w:color w:val="000000"/>
                <w:sz w:val="20"/>
                <w:szCs w:val="20"/>
              </w:rPr>
              <w:t>14.78856</w:t>
            </w:r>
            <w:r w:rsidRPr="00B969BE">
              <w:rPr>
                <w:rFonts w:cs="Times New Roman"/>
                <w:bCs/>
                <w:color w:val="000000"/>
                <w:sz w:val="20"/>
                <w:szCs w:val="20"/>
                <w:vertAlign w:val="superscript"/>
              </w:rPr>
              <w:t>a</w:t>
            </w:r>
          </w:p>
        </w:tc>
        <w:tc>
          <w:tcPr>
            <w:tcW w:w="831" w:type="pct"/>
            <w:noWrap/>
            <w:vAlign w:val="center"/>
            <w:hideMark/>
          </w:tcPr>
          <w:p w14:paraId="6CF9A26E" w14:textId="77777777" w:rsidR="009C4638" w:rsidRPr="00B969BE" w:rsidRDefault="009C4638" w:rsidP="009E6088">
            <w:pPr>
              <w:spacing w:after="0" w:line="240" w:lineRule="auto"/>
              <w:rPr>
                <w:rFonts w:cs="Times New Roman"/>
                <w:bCs/>
                <w:color w:val="000000"/>
                <w:sz w:val="20"/>
                <w:szCs w:val="20"/>
                <w:vertAlign w:val="superscript"/>
              </w:rPr>
            </w:pPr>
            <w:r w:rsidRPr="00B969BE">
              <w:rPr>
                <w:rFonts w:cs="Times New Roman"/>
                <w:bCs/>
                <w:color w:val="000000"/>
                <w:sz w:val="20"/>
                <w:szCs w:val="20"/>
              </w:rPr>
              <w:t>8.214179</w:t>
            </w:r>
            <w:r w:rsidRPr="00B969BE">
              <w:rPr>
                <w:rFonts w:cs="Times New Roman"/>
                <w:bCs/>
                <w:color w:val="000000"/>
                <w:sz w:val="20"/>
                <w:szCs w:val="20"/>
                <w:vertAlign w:val="superscript"/>
              </w:rPr>
              <w:t>a</w:t>
            </w:r>
          </w:p>
        </w:tc>
        <w:tc>
          <w:tcPr>
            <w:tcW w:w="831" w:type="pct"/>
            <w:noWrap/>
            <w:vAlign w:val="center"/>
            <w:hideMark/>
          </w:tcPr>
          <w:p w14:paraId="3FD93F9C" w14:textId="77777777" w:rsidR="009C4638" w:rsidRPr="00B969BE" w:rsidRDefault="009C4638" w:rsidP="009E6088">
            <w:pPr>
              <w:spacing w:after="0" w:line="240" w:lineRule="auto"/>
              <w:rPr>
                <w:rFonts w:cs="Times New Roman"/>
                <w:bCs/>
                <w:color w:val="000000"/>
                <w:sz w:val="20"/>
                <w:szCs w:val="20"/>
                <w:vertAlign w:val="superscript"/>
              </w:rPr>
            </w:pPr>
            <w:r w:rsidRPr="00B969BE">
              <w:rPr>
                <w:rFonts w:cs="Times New Roman"/>
                <w:bCs/>
                <w:color w:val="000000"/>
                <w:sz w:val="20"/>
                <w:szCs w:val="20"/>
              </w:rPr>
              <w:t>9.250138</w:t>
            </w:r>
            <w:r w:rsidRPr="00B969BE">
              <w:rPr>
                <w:rFonts w:cs="Times New Roman"/>
                <w:bCs/>
                <w:color w:val="000000"/>
                <w:sz w:val="20"/>
                <w:szCs w:val="20"/>
                <w:vertAlign w:val="superscript"/>
              </w:rPr>
              <w:t>a</w:t>
            </w:r>
          </w:p>
        </w:tc>
        <w:tc>
          <w:tcPr>
            <w:tcW w:w="863" w:type="pct"/>
            <w:noWrap/>
            <w:vAlign w:val="center"/>
            <w:hideMark/>
          </w:tcPr>
          <w:p w14:paraId="0C6A2203" w14:textId="77777777" w:rsidR="009C4638" w:rsidRPr="00B969BE" w:rsidRDefault="009C4638" w:rsidP="009E6088">
            <w:pPr>
              <w:spacing w:after="0" w:line="240" w:lineRule="auto"/>
              <w:ind w:left="40"/>
              <w:rPr>
                <w:rFonts w:cs="Times New Roman"/>
                <w:bCs/>
                <w:color w:val="000000"/>
                <w:sz w:val="20"/>
                <w:szCs w:val="20"/>
                <w:vertAlign w:val="superscript"/>
              </w:rPr>
            </w:pPr>
            <w:r w:rsidRPr="00B969BE">
              <w:rPr>
                <w:rFonts w:cs="Times New Roman"/>
                <w:bCs/>
                <w:color w:val="000000"/>
                <w:sz w:val="20"/>
                <w:szCs w:val="20"/>
              </w:rPr>
              <w:t>9.721542</w:t>
            </w:r>
            <w:r w:rsidRPr="00B969BE">
              <w:rPr>
                <w:rFonts w:cs="Times New Roman"/>
                <w:bCs/>
                <w:color w:val="000000"/>
                <w:sz w:val="20"/>
                <w:szCs w:val="20"/>
                <w:vertAlign w:val="superscript"/>
              </w:rPr>
              <w:t>a</w:t>
            </w:r>
          </w:p>
        </w:tc>
      </w:tr>
      <w:tr w:rsidR="009C4638" w:rsidRPr="00B969BE" w14:paraId="1AFEB7AF" w14:textId="77777777" w:rsidTr="009C4638">
        <w:trPr>
          <w:trHeight w:val="300"/>
        </w:trPr>
        <w:tc>
          <w:tcPr>
            <w:tcW w:w="1644" w:type="pct"/>
            <w:noWrap/>
            <w:vAlign w:val="bottom"/>
            <w:hideMark/>
          </w:tcPr>
          <w:p w14:paraId="592D412B" w14:textId="77777777" w:rsidR="009C4638" w:rsidRPr="00B969BE" w:rsidRDefault="009C4638" w:rsidP="009E6088">
            <w:pPr>
              <w:spacing w:after="0" w:line="240" w:lineRule="auto"/>
              <w:jc w:val="both"/>
              <w:rPr>
                <w:rFonts w:eastAsia="Times New Roman" w:cs="Times New Roman"/>
                <w:bCs/>
                <w:color w:val="000000"/>
                <w:sz w:val="20"/>
                <w:szCs w:val="20"/>
              </w:rPr>
            </w:pPr>
            <w:r w:rsidRPr="00B969BE">
              <w:rPr>
                <w:rFonts w:eastAsia="Times New Roman" w:cs="Times New Roman"/>
                <w:bCs/>
                <w:color w:val="000000"/>
                <w:sz w:val="20"/>
                <w:szCs w:val="20"/>
              </w:rPr>
              <w:t>PK=0</w:t>
            </w:r>
          </w:p>
        </w:tc>
        <w:tc>
          <w:tcPr>
            <w:tcW w:w="831" w:type="pct"/>
            <w:noWrap/>
            <w:vAlign w:val="center"/>
            <w:hideMark/>
          </w:tcPr>
          <w:p w14:paraId="3C6895CA" w14:textId="77777777" w:rsidR="009C4638" w:rsidRPr="00B969BE" w:rsidRDefault="009C4638" w:rsidP="009E6088">
            <w:pPr>
              <w:spacing w:after="0" w:line="240" w:lineRule="auto"/>
              <w:rPr>
                <w:rFonts w:cs="Times New Roman"/>
                <w:bCs/>
                <w:color w:val="000000"/>
                <w:sz w:val="20"/>
                <w:szCs w:val="20"/>
                <w:vertAlign w:val="superscript"/>
              </w:rPr>
            </w:pPr>
            <w:r w:rsidRPr="00B969BE">
              <w:rPr>
                <w:rFonts w:cs="Times New Roman"/>
                <w:bCs/>
                <w:color w:val="000000"/>
                <w:sz w:val="20"/>
                <w:szCs w:val="20"/>
              </w:rPr>
              <w:t>11.31936</w:t>
            </w:r>
            <w:r w:rsidRPr="00B969BE">
              <w:rPr>
                <w:rFonts w:cs="Times New Roman"/>
                <w:bCs/>
                <w:color w:val="000000"/>
                <w:sz w:val="20"/>
                <w:szCs w:val="20"/>
                <w:vertAlign w:val="superscript"/>
              </w:rPr>
              <w:t>a</w:t>
            </w:r>
          </w:p>
        </w:tc>
        <w:tc>
          <w:tcPr>
            <w:tcW w:w="831" w:type="pct"/>
            <w:noWrap/>
            <w:vAlign w:val="center"/>
            <w:hideMark/>
          </w:tcPr>
          <w:p w14:paraId="134729AC" w14:textId="77777777" w:rsidR="009C4638" w:rsidRPr="00B969BE" w:rsidRDefault="009C4638" w:rsidP="009E6088">
            <w:pPr>
              <w:spacing w:after="0" w:line="240" w:lineRule="auto"/>
              <w:rPr>
                <w:rFonts w:eastAsia="Times New Roman" w:cs="Times New Roman"/>
                <w:bCs/>
                <w:color w:val="000000"/>
                <w:sz w:val="20"/>
                <w:szCs w:val="20"/>
              </w:rPr>
            </w:pPr>
            <w:r w:rsidRPr="00B969BE">
              <w:rPr>
                <w:rFonts w:eastAsia="Times New Roman" w:cs="Times New Roman"/>
                <w:bCs/>
                <w:color w:val="000000"/>
                <w:sz w:val="20"/>
                <w:szCs w:val="20"/>
              </w:rPr>
              <w:t>2.58601</w:t>
            </w:r>
          </w:p>
        </w:tc>
        <w:tc>
          <w:tcPr>
            <w:tcW w:w="831" w:type="pct"/>
            <w:noWrap/>
            <w:vAlign w:val="center"/>
            <w:hideMark/>
          </w:tcPr>
          <w:p w14:paraId="2C16634F" w14:textId="77777777" w:rsidR="009C4638" w:rsidRPr="00B969BE" w:rsidRDefault="009C4638" w:rsidP="009E6088">
            <w:pPr>
              <w:spacing w:after="0" w:line="240" w:lineRule="auto"/>
              <w:rPr>
                <w:rFonts w:cs="Times New Roman"/>
                <w:bCs/>
                <w:color w:val="000000"/>
                <w:sz w:val="20"/>
                <w:szCs w:val="20"/>
                <w:vertAlign w:val="superscript"/>
              </w:rPr>
            </w:pPr>
            <w:r w:rsidRPr="00B969BE">
              <w:rPr>
                <w:rFonts w:cs="Times New Roman"/>
                <w:bCs/>
                <w:color w:val="000000"/>
                <w:sz w:val="20"/>
                <w:szCs w:val="20"/>
              </w:rPr>
              <w:t>7.322696</w:t>
            </w:r>
            <w:r w:rsidRPr="00B969BE">
              <w:rPr>
                <w:rFonts w:cs="Times New Roman"/>
                <w:bCs/>
                <w:color w:val="000000"/>
                <w:sz w:val="20"/>
                <w:szCs w:val="20"/>
                <w:vertAlign w:val="superscript"/>
              </w:rPr>
              <w:t>a</w:t>
            </w:r>
          </w:p>
        </w:tc>
        <w:tc>
          <w:tcPr>
            <w:tcW w:w="863" w:type="pct"/>
            <w:noWrap/>
            <w:vAlign w:val="center"/>
            <w:hideMark/>
          </w:tcPr>
          <w:p w14:paraId="71EC8D89" w14:textId="77777777" w:rsidR="009C4638" w:rsidRPr="00B969BE" w:rsidRDefault="009C4638" w:rsidP="009E6088">
            <w:pPr>
              <w:spacing w:after="0" w:line="240" w:lineRule="auto"/>
              <w:ind w:left="40"/>
              <w:rPr>
                <w:rFonts w:eastAsia="Times New Roman" w:cs="Times New Roman"/>
                <w:bCs/>
                <w:color w:val="000000"/>
                <w:sz w:val="20"/>
                <w:szCs w:val="20"/>
                <w:vertAlign w:val="superscript"/>
              </w:rPr>
            </w:pPr>
            <w:r w:rsidRPr="00B969BE">
              <w:rPr>
                <w:rFonts w:eastAsia="Times New Roman" w:cs="Times New Roman"/>
                <w:bCs/>
                <w:color w:val="000000"/>
                <w:sz w:val="20"/>
                <w:szCs w:val="20"/>
              </w:rPr>
              <w:t>15.83847</w:t>
            </w:r>
            <w:r w:rsidRPr="00B969BE">
              <w:rPr>
                <w:rFonts w:eastAsia="Times New Roman" w:cs="Times New Roman"/>
                <w:bCs/>
                <w:color w:val="000000"/>
                <w:sz w:val="20"/>
                <w:szCs w:val="20"/>
                <w:vertAlign w:val="superscript"/>
              </w:rPr>
              <w:t>a</w:t>
            </w:r>
          </w:p>
        </w:tc>
      </w:tr>
      <w:tr w:rsidR="009C4638" w:rsidRPr="00B969BE" w14:paraId="2B62B665" w14:textId="77777777" w:rsidTr="009C4638">
        <w:trPr>
          <w:trHeight w:val="300"/>
        </w:trPr>
        <w:tc>
          <w:tcPr>
            <w:tcW w:w="1644" w:type="pct"/>
            <w:noWrap/>
            <w:vAlign w:val="bottom"/>
            <w:hideMark/>
          </w:tcPr>
          <w:p w14:paraId="38D9723E" w14:textId="77777777" w:rsidR="009C4638" w:rsidRPr="00B969BE" w:rsidRDefault="009C4638" w:rsidP="009E6088">
            <w:pPr>
              <w:spacing w:after="0" w:line="240" w:lineRule="auto"/>
              <w:jc w:val="both"/>
              <w:rPr>
                <w:rFonts w:eastAsia="Times New Roman" w:cs="Times New Roman"/>
                <w:bCs/>
                <w:color w:val="000000"/>
                <w:sz w:val="20"/>
                <w:szCs w:val="20"/>
              </w:rPr>
            </w:pPr>
            <w:r w:rsidRPr="00B969BE">
              <w:rPr>
                <w:rFonts w:eastAsia="Times New Roman" w:cs="Times New Roman"/>
                <w:bCs/>
                <w:color w:val="000000"/>
                <w:sz w:val="20"/>
                <w:szCs w:val="20"/>
              </w:rPr>
              <w:t>IND=0</w:t>
            </w:r>
          </w:p>
        </w:tc>
        <w:tc>
          <w:tcPr>
            <w:tcW w:w="831" w:type="pct"/>
            <w:noWrap/>
            <w:vAlign w:val="center"/>
            <w:hideMark/>
          </w:tcPr>
          <w:p w14:paraId="72741935" w14:textId="77777777" w:rsidR="009C4638" w:rsidRPr="00B969BE" w:rsidRDefault="009C4638" w:rsidP="009E6088">
            <w:pPr>
              <w:spacing w:after="0" w:line="240" w:lineRule="auto"/>
              <w:rPr>
                <w:rFonts w:cs="Times New Roman"/>
                <w:bCs/>
                <w:color w:val="000000"/>
                <w:sz w:val="20"/>
                <w:szCs w:val="20"/>
                <w:vertAlign w:val="superscript"/>
              </w:rPr>
            </w:pPr>
            <w:r w:rsidRPr="00B969BE">
              <w:rPr>
                <w:rFonts w:cs="Times New Roman"/>
                <w:bCs/>
                <w:color w:val="000000"/>
                <w:sz w:val="20"/>
                <w:szCs w:val="20"/>
              </w:rPr>
              <w:t>5.105858</w:t>
            </w:r>
            <w:r w:rsidRPr="00B969BE">
              <w:rPr>
                <w:rFonts w:cs="Times New Roman"/>
                <w:bCs/>
                <w:color w:val="000000"/>
                <w:sz w:val="20"/>
                <w:szCs w:val="20"/>
                <w:vertAlign w:val="superscript"/>
              </w:rPr>
              <w:t>a</w:t>
            </w:r>
          </w:p>
        </w:tc>
        <w:tc>
          <w:tcPr>
            <w:tcW w:w="831" w:type="pct"/>
            <w:noWrap/>
            <w:vAlign w:val="center"/>
            <w:hideMark/>
          </w:tcPr>
          <w:p w14:paraId="6AF8076E" w14:textId="77777777" w:rsidR="009C4638" w:rsidRPr="00B969BE" w:rsidRDefault="009C4638" w:rsidP="009E6088">
            <w:pPr>
              <w:spacing w:after="0" w:line="240" w:lineRule="auto"/>
              <w:rPr>
                <w:rFonts w:eastAsia="Times New Roman" w:cs="Times New Roman"/>
                <w:bCs/>
                <w:color w:val="000000"/>
                <w:sz w:val="20"/>
                <w:szCs w:val="20"/>
                <w:vertAlign w:val="superscript"/>
              </w:rPr>
            </w:pPr>
            <w:r w:rsidRPr="00B969BE">
              <w:rPr>
                <w:rFonts w:eastAsia="Times New Roman" w:cs="Times New Roman"/>
                <w:bCs/>
                <w:color w:val="000000"/>
                <w:sz w:val="20"/>
                <w:szCs w:val="20"/>
              </w:rPr>
              <w:t>15.74179</w:t>
            </w:r>
            <w:r w:rsidRPr="00B969BE">
              <w:rPr>
                <w:rFonts w:eastAsia="Times New Roman" w:cs="Times New Roman"/>
                <w:bCs/>
                <w:color w:val="000000"/>
                <w:sz w:val="20"/>
                <w:szCs w:val="20"/>
                <w:vertAlign w:val="superscript"/>
              </w:rPr>
              <w:t>a</w:t>
            </w:r>
          </w:p>
        </w:tc>
        <w:tc>
          <w:tcPr>
            <w:tcW w:w="831" w:type="pct"/>
            <w:noWrap/>
            <w:vAlign w:val="center"/>
            <w:hideMark/>
          </w:tcPr>
          <w:p w14:paraId="4841E67F" w14:textId="77777777" w:rsidR="009C4638" w:rsidRPr="00B969BE" w:rsidRDefault="009C4638" w:rsidP="009E6088">
            <w:pPr>
              <w:spacing w:after="0" w:line="240" w:lineRule="auto"/>
              <w:rPr>
                <w:rFonts w:cs="Times New Roman"/>
                <w:bCs/>
                <w:color w:val="000000"/>
                <w:sz w:val="20"/>
                <w:szCs w:val="20"/>
              </w:rPr>
            </w:pPr>
            <w:r w:rsidRPr="00B969BE">
              <w:rPr>
                <w:rFonts w:cs="Times New Roman"/>
                <w:bCs/>
                <w:color w:val="000000"/>
                <w:sz w:val="20"/>
                <w:szCs w:val="20"/>
              </w:rPr>
              <w:t>2.217291</w:t>
            </w:r>
          </w:p>
        </w:tc>
        <w:tc>
          <w:tcPr>
            <w:tcW w:w="863" w:type="pct"/>
            <w:noWrap/>
            <w:vAlign w:val="center"/>
            <w:hideMark/>
          </w:tcPr>
          <w:p w14:paraId="23346065" w14:textId="77777777" w:rsidR="009C4638" w:rsidRPr="00B969BE" w:rsidRDefault="009C4638" w:rsidP="009E6088">
            <w:pPr>
              <w:spacing w:after="0" w:line="240" w:lineRule="auto"/>
              <w:ind w:left="40"/>
              <w:rPr>
                <w:rFonts w:eastAsia="Times New Roman" w:cs="Times New Roman"/>
                <w:bCs/>
                <w:color w:val="000000"/>
                <w:sz w:val="20"/>
                <w:szCs w:val="20"/>
                <w:vertAlign w:val="superscript"/>
              </w:rPr>
            </w:pPr>
            <w:r w:rsidRPr="00B969BE">
              <w:rPr>
                <w:rFonts w:eastAsia="Times New Roman" w:cs="Times New Roman"/>
                <w:bCs/>
                <w:color w:val="000000"/>
                <w:sz w:val="20"/>
                <w:szCs w:val="20"/>
              </w:rPr>
              <w:t>10.81879</w:t>
            </w:r>
            <w:r w:rsidRPr="00B969BE">
              <w:rPr>
                <w:rFonts w:eastAsia="Times New Roman" w:cs="Times New Roman"/>
                <w:bCs/>
                <w:color w:val="000000"/>
                <w:sz w:val="20"/>
                <w:szCs w:val="20"/>
                <w:vertAlign w:val="superscript"/>
              </w:rPr>
              <w:t>a</w:t>
            </w:r>
          </w:p>
        </w:tc>
      </w:tr>
      <w:tr w:rsidR="009C4638" w:rsidRPr="00B969BE" w14:paraId="3AA736EB" w14:textId="77777777" w:rsidTr="009C4638">
        <w:trPr>
          <w:trHeight w:val="188"/>
        </w:trPr>
        <w:tc>
          <w:tcPr>
            <w:tcW w:w="1644" w:type="pct"/>
            <w:noWrap/>
            <w:vAlign w:val="bottom"/>
            <w:hideMark/>
          </w:tcPr>
          <w:p w14:paraId="04FC00E9" w14:textId="77777777" w:rsidR="009C4638" w:rsidRPr="00B969BE" w:rsidRDefault="009C4638" w:rsidP="009E6088">
            <w:pPr>
              <w:spacing w:after="0" w:line="240" w:lineRule="auto"/>
              <w:jc w:val="both"/>
              <w:rPr>
                <w:rFonts w:eastAsia="Times New Roman" w:cs="Times New Roman"/>
                <w:bCs/>
                <w:color w:val="000000"/>
                <w:sz w:val="20"/>
                <w:szCs w:val="20"/>
              </w:rPr>
            </w:pPr>
            <w:r w:rsidRPr="00B969BE">
              <w:rPr>
                <w:rFonts w:eastAsia="Times New Roman" w:cs="Times New Roman"/>
                <w:bCs/>
                <w:color w:val="000000"/>
                <w:sz w:val="20"/>
                <w:szCs w:val="20"/>
              </w:rPr>
              <w:t>CN=0</w:t>
            </w:r>
          </w:p>
        </w:tc>
        <w:tc>
          <w:tcPr>
            <w:tcW w:w="831" w:type="pct"/>
            <w:noWrap/>
            <w:vAlign w:val="center"/>
            <w:hideMark/>
          </w:tcPr>
          <w:p w14:paraId="00C2530D" w14:textId="77777777" w:rsidR="009C4638" w:rsidRPr="00B969BE" w:rsidRDefault="009C4638" w:rsidP="009E6088">
            <w:pPr>
              <w:spacing w:after="0" w:line="240" w:lineRule="auto"/>
              <w:rPr>
                <w:rFonts w:cs="Times New Roman"/>
                <w:bCs/>
                <w:color w:val="000000"/>
                <w:sz w:val="20"/>
                <w:szCs w:val="20"/>
              </w:rPr>
            </w:pPr>
            <w:r w:rsidRPr="00B969BE">
              <w:rPr>
                <w:rFonts w:cs="Times New Roman"/>
                <w:bCs/>
                <w:color w:val="000000"/>
                <w:sz w:val="20"/>
                <w:szCs w:val="20"/>
              </w:rPr>
              <w:t>1.961495</w:t>
            </w:r>
          </w:p>
        </w:tc>
        <w:tc>
          <w:tcPr>
            <w:tcW w:w="831" w:type="pct"/>
            <w:noWrap/>
            <w:vAlign w:val="center"/>
            <w:hideMark/>
          </w:tcPr>
          <w:p w14:paraId="39F8DAE9" w14:textId="77777777" w:rsidR="009C4638" w:rsidRPr="00B969BE" w:rsidRDefault="009C4638" w:rsidP="009E6088">
            <w:pPr>
              <w:spacing w:after="0" w:line="240" w:lineRule="auto"/>
              <w:rPr>
                <w:rFonts w:eastAsia="Times New Roman" w:cs="Times New Roman"/>
                <w:bCs/>
                <w:color w:val="000000"/>
                <w:sz w:val="20"/>
                <w:szCs w:val="20"/>
                <w:vertAlign w:val="superscript"/>
              </w:rPr>
            </w:pPr>
            <w:r w:rsidRPr="00B969BE">
              <w:rPr>
                <w:rFonts w:eastAsia="Times New Roman" w:cs="Times New Roman"/>
                <w:bCs/>
                <w:color w:val="000000"/>
                <w:sz w:val="20"/>
                <w:szCs w:val="20"/>
              </w:rPr>
              <w:t>12.99804</w:t>
            </w:r>
            <w:r w:rsidRPr="00B969BE">
              <w:rPr>
                <w:rFonts w:eastAsia="Times New Roman" w:cs="Times New Roman"/>
                <w:bCs/>
                <w:color w:val="000000"/>
                <w:sz w:val="20"/>
                <w:szCs w:val="20"/>
                <w:vertAlign w:val="superscript"/>
              </w:rPr>
              <w:t>a</w:t>
            </w:r>
          </w:p>
        </w:tc>
        <w:tc>
          <w:tcPr>
            <w:tcW w:w="831" w:type="pct"/>
            <w:noWrap/>
            <w:vAlign w:val="center"/>
            <w:hideMark/>
          </w:tcPr>
          <w:p w14:paraId="1AF2F789" w14:textId="77777777" w:rsidR="009C4638" w:rsidRPr="00B969BE" w:rsidRDefault="009C4638" w:rsidP="009E6088">
            <w:pPr>
              <w:spacing w:after="0" w:line="240" w:lineRule="auto"/>
              <w:rPr>
                <w:rFonts w:cs="Times New Roman"/>
                <w:bCs/>
                <w:color w:val="000000"/>
                <w:sz w:val="20"/>
                <w:szCs w:val="20"/>
              </w:rPr>
            </w:pPr>
            <w:r w:rsidRPr="00B969BE">
              <w:rPr>
                <w:rFonts w:cs="Times New Roman"/>
                <w:bCs/>
                <w:color w:val="000000"/>
                <w:sz w:val="20"/>
                <w:szCs w:val="20"/>
              </w:rPr>
              <w:t>0.249986</w:t>
            </w:r>
          </w:p>
        </w:tc>
        <w:tc>
          <w:tcPr>
            <w:tcW w:w="863" w:type="pct"/>
            <w:noWrap/>
            <w:vAlign w:val="center"/>
            <w:hideMark/>
          </w:tcPr>
          <w:p w14:paraId="760F0E5F" w14:textId="77777777" w:rsidR="009C4638" w:rsidRPr="00B969BE" w:rsidRDefault="009C4638" w:rsidP="009E6088">
            <w:pPr>
              <w:spacing w:after="0" w:line="240" w:lineRule="auto"/>
              <w:ind w:left="40"/>
              <w:rPr>
                <w:rFonts w:eastAsia="Times New Roman" w:cs="Times New Roman"/>
                <w:bCs/>
                <w:color w:val="000000"/>
                <w:sz w:val="20"/>
                <w:szCs w:val="20"/>
                <w:vertAlign w:val="superscript"/>
              </w:rPr>
            </w:pPr>
            <w:r w:rsidRPr="00B969BE">
              <w:rPr>
                <w:rFonts w:eastAsia="Times New Roman" w:cs="Times New Roman"/>
                <w:bCs/>
                <w:color w:val="000000"/>
                <w:sz w:val="20"/>
                <w:szCs w:val="20"/>
              </w:rPr>
              <w:t>16.19055</w:t>
            </w:r>
            <w:r w:rsidRPr="00B969BE">
              <w:rPr>
                <w:rFonts w:eastAsia="Times New Roman" w:cs="Times New Roman"/>
                <w:bCs/>
                <w:color w:val="000000"/>
                <w:sz w:val="20"/>
                <w:szCs w:val="20"/>
                <w:vertAlign w:val="superscript"/>
              </w:rPr>
              <w:t>a</w:t>
            </w:r>
          </w:p>
        </w:tc>
      </w:tr>
    </w:tbl>
    <w:p w14:paraId="3BF29822" w14:textId="691AEA5D" w:rsidR="00DD7712" w:rsidRDefault="00DD7712" w:rsidP="009E6088">
      <w:pPr>
        <w:pStyle w:val="NoSpacing"/>
        <w:rPr>
          <w:rFonts w:ascii="Times New Roman" w:hAnsi="Times New Roman" w:cs="Times New Roman"/>
          <w:sz w:val="18"/>
          <w:szCs w:val="18"/>
        </w:rPr>
      </w:pPr>
      <w:r w:rsidRPr="00F3628A">
        <w:rPr>
          <w:rFonts w:ascii="Times New Roman" w:hAnsi="Times New Roman" w:cs="Times New Roman"/>
          <w:sz w:val="18"/>
          <w:szCs w:val="18"/>
        </w:rPr>
        <w:t>Note: The null hypothesis of the test statistic is that it is chi-square distributed</w:t>
      </w:r>
      <w:r>
        <w:rPr>
          <w:rFonts w:ascii="Times New Roman" w:hAnsi="Times New Roman" w:cs="Times New Roman"/>
          <w:sz w:val="18"/>
          <w:szCs w:val="18"/>
        </w:rPr>
        <w:t xml:space="preserve">. </w:t>
      </w:r>
      <w:r w:rsidRPr="00F3628A">
        <w:rPr>
          <w:rFonts w:ascii="Times New Roman" w:hAnsi="Times New Roman" w:cs="Times New Roman"/>
          <w:sz w:val="18"/>
          <w:szCs w:val="18"/>
          <w:vertAlign w:val="superscript"/>
        </w:rPr>
        <w:t>a</w:t>
      </w:r>
      <w:r w:rsidRPr="00F3628A">
        <w:rPr>
          <w:rFonts w:ascii="Times New Roman" w:hAnsi="Times New Roman" w:cs="Times New Roman"/>
          <w:sz w:val="18"/>
          <w:szCs w:val="18"/>
        </w:rPr>
        <w:t xml:space="preserve"> denotes significance at 1% level</w:t>
      </w:r>
      <w:r>
        <w:rPr>
          <w:rFonts w:ascii="Times New Roman" w:hAnsi="Times New Roman" w:cs="Times New Roman"/>
          <w:sz w:val="18"/>
          <w:szCs w:val="18"/>
        </w:rPr>
        <w:t xml:space="preserve">. </w:t>
      </w:r>
      <w:r w:rsidRPr="00E52CF5">
        <w:rPr>
          <w:rFonts w:ascii="Times New Roman" w:hAnsi="Times New Roman" w:cs="Times New Roman"/>
          <w:sz w:val="18"/>
          <w:szCs w:val="18"/>
        </w:rPr>
        <w:t>Source: Authors' estimation</w:t>
      </w:r>
      <w:r>
        <w:rPr>
          <w:rFonts w:ascii="Times New Roman" w:hAnsi="Times New Roman" w:cs="Times New Roman"/>
          <w:sz w:val="18"/>
          <w:szCs w:val="18"/>
        </w:rPr>
        <w:t xml:space="preserve"> </w:t>
      </w:r>
    </w:p>
    <w:p w14:paraId="64C3241F" w14:textId="77777777" w:rsidR="00DD7712" w:rsidRPr="000E24C2" w:rsidRDefault="00DD7712" w:rsidP="009E6088">
      <w:pPr>
        <w:spacing w:line="240" w:lineRule="auto"/>
        <w:ind w:left="720"/>
        <w:jc w:val="both"/>
        <w:rPr>
          <w:rFonts w:cs="Times New Roman"/>
          <w:szCs w:val="24"/>
        </w:rPr>
      </w:pPr>
    </w:p>
    <w:p w14:paraId="2D4D95F3" w14:textId="5F1D9030" w:rsidR="00DD7712" w:rsidRDefault="00DD7712" w:rsidP="009E6088">
      <w:pPr>
        <w:pStyle w:val="NormalWeb"/>
        <w:shd w:val="clear" w:color="auto" w:fill="FFFFFF"/>
        <w:spacing w:before="0" w:beforeAutospacing="0" w:after="0" w:afterAutospacing="0"/>
        <w:ind w:firstLine="720"/>
        <w:jc w:val="both"/>
        <w:rPr>
          <w:bCs/>
        </w:rPr>
      </w:pPr>
      <w:r w:rsidRPr="009C4638">
        <w:rPr>
          <w:bCs/>
        </w:rPr>
        <w:t>One result which is consistent in all of the four models is that each established market enters its model significantly and the null hypothesis of US=0, UK=0, GER=0 and JN=0 is rejected thereby implying that each of the market explains its respective model significantly and influences the other markets in the model in the long run.</w:t>
      </w:r>
    </w:p>
    <w:p w14:paraId="0C315E80" w14:textId="77777777" w:rsidR="009C4638" w:rsidRPr="009C4638" w:rsidRDefault="009C4638" w:rsidP="009E6088">
      <w:pPr>
        <w:pStyle w:val="NormalWeb"/>
        <w:shd w:val="clear" w:color="auto" w:fill="FFFFFF"/>
        <w:spacing w:before="0" w:beforeAutospacing="0" w:after="0" w:afterAutospacing="0"/>
        <w:ind w:firstLine="720"/>
        <w:jc w:val="both"/>
        <w:rPr>
          <w:bCs/>
        </w:rPr>
      </w:pPr>
    </w:p>
    <w:p w14:paraId="147E5935" w14:textId="41BD9188" w:rsidR="00DD7712" w:rsidRDefault="00DD7712" w:rsidP="009E6088">
      <w:pPr>
        <w:pStyle w:val="NormalWeb"/>
        <w:shd w:val="clear" w:color="auto" w:fill="FFFFFF"/>
        <w:spacing w:before="0" w:beforeAutospacing="0" w:after="0" w:afterAutospacing="0"/>
        <w:ind w:firstLine="720"/>
        <w:jc w:val="both"/>
        <w:rPr>
          <w:bCs/>
        </w:rPr>
      </w:pPr>
      <w:r w:rsidRPr="009C4638">
        <w:rPr>
          <w:bCs/>
        </w:rPr>
        <w:t xml:space="preserve">It is interesting to note that in the US model, China does not play role in explaining the US market indicated by the acceptance of the null hypothesis </w:t>
      </w:r>
      <w:r w:rsidR="009C4638" w:rsidRPr="009C4638">
        <w:rPr>
          <w:bCs/>
        </w:rPr>
        <w:t>i.e.,</w:t>
      </w:r>
      <w:r w:rsidRPr="009C4638">
        <w:rPr>
          <w:bCs/>
        </w:rPr>
        <w:t xml:space="preserve"> CN is equal to zero whereas the Pakistani market along with the Indian market exert long-run impact on the US market.</w:t>
      </w:r>
    </w:p>
    <w:p w14:paraId="2084D6B7" w14:textId="77777777" w:rsidR="009C4638" w:rsidRPr="009C4638" w:rsidRDefault="009C4638" w:rsidP="009E6088">
      <w:pPr>
        <w:pStyle w:val="NormalWeb"/>
        <w:shd w:val="clear" w:color="auto" w:fill="FFFFFF"/>
        <w:spacing w:before="0" w:beforeAutospacing="0" w:after="0" w:afterAutospacing="0"/>
        <w:ind w:firstLine="720"/>
        <w:jc w:val="both"/>
        <w:rPr>
          <w:bCs/>
        </w:rPr>
      </w:pPr>
    </w:p>
    <w:p w14:paraId="4E30F622" w14:textId="232DE8D3" w:rsidR="00DD7712" w:rsidRDefault="00DD7712" w:rsidP="009E6088">
      <w:pPr>
        <w:pStyle w:val="NormalWeb"/>
        <w:shd w:val="clear" w:color="auto" w:fill="FFFFFF"/>
        <w:spacing w:before="0" w:beforeAutospacing="0" w:after="0" w:afterAutospacing="0"/>
        <w:ind w:firstLine="720"/>
        <w:jc w:val="both"/>
        <w:rPr>
          <w:bCs/>
        </w:rPr>
      </w:pPr>
      <w:r w:rsidRPr="009C4638">
        <w:rPr>
          <w:bCs/>
        </w:rPr>
        <w:t>In the UK model, the results are opposite to that of the US market where Pakistani do not enter in the long run relationship significantly whereas the Chinese market and the Indian market enter in the long run relationship with the UK market.</w:t>
      </w:r>
    </w:p>
    <w:p w14:paraId="33499EED" w14:textId="77777777" w:rsidR="009C4638" w:rsidRPr="009C4638" w:rsidRDefault="009C4638" w:rsidP="009E6088">
      <w:pPr>
        <w:pStyle w:val="NormalWeb"/>
        <w:shd w:val="clear" w:color="auto" w:fill="FFFFFF"/>
        <w:spacing w:before="0" w:beforeAutospacing="0" w:after="0" w:afterAutospacing="0"/>
        <w:ind w:firstLine="720"/>
        <w:jc w:val="both"/>
        <w:rPr>
          <w:bCs/>
        </w:rPr>
      </w:pPr>
    </w:p>
    <w:p w14:paraId="475F52D0" w14:textId="31444242" w:rsidR="00DD7712" w:rsidRDefault="00DD7712" w:rsidP="009E6088">
      <w:pPr>
        <w:pStyle w:val="NormalWeb"/>
        <w:shd w:val="clear" w:color="auto" w:fill="FFFFFF"/>
        <w:spacing w:before="0" w:beforeAutospacing="0" w:after="0" w:afterAutospacing="0"/>
        <w:ind w:firstLine="720"/>
        <w:jc w:val="both"/>
        <w:rPr>
          <w:bCs/>
        </w:rPr>
      </w:pPr>
      <w:r w:rsidRPr="009C4638">
        <w:rPr>
          <w:bCs/>
        </w:rPr>
        <w:t xml:space="preserve">It is interesting to note that in the GER model, China and India do not play role in explaining the GER market indicated by the acceptance of the null hypothesis </w:t>
      </w:r>
      <w:r w:rsidR="009C4638" w:rsidRPr="009C4638">
        <w:rPr>
          <w:bCs/>
        </w:rPr>
        <w:t>i.e.,</w:t>
      </w:r>
      <w:r w:rsidRPr="009C4638">
        <w:rPr>
          <w:bCs/>
        </w:rPr>
        <w:t xml:space="preserve"> CN and IND both are equal to zero whereas the Pakistani market exerts long-run impact on the GER market.</w:t>
      </w:r>
    </w:p>
    <w:p w14:paraId="22AE9B92" w14:textId="77777777" w:rsidR="009C4638" w:rsidRPr="009C4638" w:rsidRDefault="009C4638" w:rsidP="009E6088">
      <w:pPr>
        <w:pStyle w:val="NormalWeb"/>
        <w:shd w:val="clear" w:color="auto" w:fill="FFFFFF"/>
        <w:spacing w:before="0" w:beforeAutospacing="0" w:after="0" w:afterAutospacing="0"/>
        <w:ind w:firstLine="720"/>
        <w:jc w:val="both"/>
        <w:rPr>
          <w:bCs/>
        </w:rPr>
      </w:pPr>
    </w:p>
    <w:p w14:paraId="2EF8D4F3" w14:textId="1F92EF5B" w:rsidR="00DD7712" w:rsidRDefault="00DD7712" w:rsidP="009E6088">
      <w:pPr>
        <w:pStyle w:val="NormalWeb"/>
        <w:shd w:val="clear" w:color="auto" w:fill="FFFFFF"/>
        <w:spacing w:before="0" w:beforeAutospacing="0" w:after="0" w:afterAutospacing="0"/>
        <w:ind w:firstLine="720"/>
        <w:jc w:val="both"/>
        <w:rPr>
          <w:bCs/>
        </w:rPr>
      </w:pPr>
      <w:r w:rsidRPr="009C4638">
        <w:rPr>
          <w:bCs/>
        </w:rPr>
        <w:t>Interestingly, in the Japan model all the markets enter in the long run relationship significantly.</w:t>
      </w:r>
    </w:p>
    <w:p w14:paraId="62F53C31" w14:textId="77777777" w:rsidR="009C4638" w:rsidRPr="009C4638" w:rsidRDefault="009C4638" w:rsidP="009E6088">
      <w:pPr>
        <w:pStyle w:val="NormalWeb"/>
        <w:shd w:val="clear" w:color="auto" w:fill="FFFFFF"/>
        <w:spacing w:before="0" w:beforeAutospacing="0" w:after="0" w:afterAutospacing="0"/>
        <w:ind w:firstLine="720"/>
        <w:jc w:val="both"/>
        <w:rPr>
          <w:bCs/>
        </w:rPr>
      </w:pPr>
    </w:p>
    <w:p w14:paraId="1B0E2A86" w14:textId="3A23521B" w:rsidR="00DD7712" w:rsidRPr="009C4638" w:rsidRDefault="00DD7712" w:rsidP="00AB13D4">
      <w:pPr>
        <w:pStyle w:val="Heading2"/>
      </w:pPr>
      <w:r w:rsidRPr="00A86B8B">
        <w:t xml:space="preserve">VECMs (Vector Error correction Model) and Short </w:t>
      </w:r>
      <w:r w:rsidR="009C4638">
        <w:t>R</w:t>
      </w:r>
      <w:r w:rsidRPr="00A86B8B">
        <w:t xml:space="preserve">un </w:t>
      </w:r>
      <w:r w:rsidR="009C4638">
        <w:t>C</w:t>
      </w:r>
      <w:r w:rsidRPr="00A86B8B">
        <w:t>ausality</w:t>
      </w:r>
    </w:p>
    <w:p w14:paraId="09820BA8" w14:textId="4B094407" w:rsidR="00DD7712" w:rsidRDefault="00DD7712" w:rsidP="009E6088">
      <w:pPr>
        <w:pStyle w:val="NormalWeb"/>
        <w:shd w:val="clear" w:color="auto" w:fill="FFFFFF"/>
        <w:spacing w:before="0" w:beforeAutospacing="0" w:after="0" w:afterAutospacing="0"/>
        <w:ind w:firstLine="720"/>
        <w:jc w:val="both"/>
        <w:rPr>
          <w:bCs/>
        </w:rPr>
      </w:pPr>
      <w:r w:rsidRPr="00AA435A">
        <w:rPr>
          <w:bCs/>
        </w:rPr>
        <w:t>The next step, after confirming the presence of cointegrating relationship among the variables, is to compute short run causalities by running the restricted VAR wherein the long run error correction term appears as the exogenous variable. This process is known as Vector Error correction mechanism. As per our conclusion before, there is one cointegrating relationship in each of our model, so there will be one error correction term in each of the system and the coefficient of which will determine the speed of adjustment of the linkage of the model to the long-run equilibrium.</w:t>
      </w:r>
    </w:p>
    <w:p w14:paraId="3D83A03A" w14:textId="77777777" w:rsidR="00AA435A" w:rsidRPr="00AA435A" w:rsidRDefault="00AA435A" w:rsidP="009E6088">
      <w:pPr>
        <w:pStyle w:val="NormalWeb"/>
        <w:shd w:val="clear" w:color="auto" w:fill="FFFFFF"/>
        <w:spacing w:before="0" w:beforeAutospacing="0" w:after="0" w:afterAutospacing="0"/>
        <w:ind w:firstLine="720"/>
        <w:jc w:val="both"/>
        <w:rPr>
          <w:bCs/>
        </w:rPr>
      </w:pPr>
    </w:p>
    <w:p w14:paraId="5D05EF9D" w14:textId="7DA6A92F" w:rsidR="00DD7712" w:rsidRDefault="00DD7712" w:rsidP="009E6088">
      <w:pPr>
        <w:pStyle w:val="NormalWeb"/>
        <w:shd w:val="clear" w:color="auto" w:fill="FFFFFF"/>
        <w:spacing w:before="0" w:beforeAutospacing="0" w:after="0" w:afterAutospacing="0"/>
        <w:ind w:firstLine="720"/>
        <w:jc w:val="both"/>
        <w:rPr>
          <w:bCs/>
        </w:rPr>
      </w:pPr>
      <w:r w:rsidRPr="00AA435A">
        <w:rPr>
          <w:bCs/>
        </w:rPr>
        <w:t>It is worth noting that each error correction term of the cointegrating vector is obtained by normalizing the vector of cointegration on the established market stock price index (SPI) and is check for its significance by the way of t-statistic. The significance of the coefficient of the error correction implies that there is a long run relationship between the regional markets and the established market. The coefficient of the error correction term depicts the speed of adjustment through which the markets will adjust themselves in the long run.</w:t>
      </w:r>
    </w:p>
    <w:p w14:paraId="7DB5614A" w14:textId="77777777" w:rsidR="00AA435A" w:rsidRPr="00AA435A" w:rsidRDefault="00AA435A" w:rsidP="009E6088">
      <w:pPr>
        <w:pStyle w:val="NormalWeb"/>
        <w:shd w:val="clear" w:color="auto" w:fill="FFFFFF"/>
        <w:spacing w:before="0" w:beforeAutospacing="0" w:after="0" w:afterAutospacing="0"/>
        <w:ind w:firstLine="720"/>
        <w:jc w:val="both"/>
        <w:rPr>
          <w:bCs/>
        </w:rPr>
      </w:pPr>
    </w:p>
    <w:p w14:paraId="47C65418" w14:textId="32623F68" w:rsidR="00DD7712" w:rsidRDefault="00DD7712" w:rsidP="009E6088">
      <w:pPr>
        <w:pStyle w:val="NormalWeb"/>
        <w:shd w:val="clear" w:color="auto" w:fill="FFFFFF"/>
        <w:spacing w:before="0" w:beforeAutospacing="0" w:after="0" w:afterAutospacing="0"/>
        <w:ind w:firstLine="720"/>
        <w:jc w:val="both"/>
        <w:rPr>
          <w:bCs/>
        </w:rPr>
      </w:pPr>
      <w:r w:rsidRPr="00AA435A">
        <w:rPr>
          <w:bCs/>
        </w:rPr>
        <w:t>The corresponding error terms were checked for stationarity through the routine ADF tests and four of the error correction terms were found to be stationary further confirming the cointegration between the markets in the model.</w:t>
      </w:r>
    </w:p>
    <w:p w14:paraId="7E27456E" w14:textId="77777777" w:rsidR="00AA435A" w:rsidRPr="00AA435A" w:rsidRDefault="00AA435A" w:rsidP="009E6088">
      <w:pPr>
        <w:pStyle w:val="NormalWeb"/>
        <w:shd w:val="clear" w:color="auto" w:fill="FFFFFF"/>
        <w:spacing w:before="0" w:beforeAutospacing="0" w:after="0" w:afterAutospacing="0"/>
        <w:ind w:firstLine="720"/>
        <w:jc w:val="both"/>
        <w:rPr>
          <w:bCs/>
        </w:rPr>
      </w:pPr>
    </w:p>
    <w:p w14:paraId="1E94F270" w14:textId="439F8632" w:rsidR="00DD7712" w:rsidRDefault="00DD7712" w:rsidP="009E6088">
      <w:pPr>
        <w:pStyle w:val="NormalWeb"/>
        <w:shd w:val="clear" w:color="auto" w:fill="FFFFFF"/>
        <w:spacing w:before="0" w:beforeAutospacing="0" w:after="0" w:afterAutospacing="0"/>
        <w:ind w:firstLine="720"/>
        <w:jc w:val="both"/>
        <w:rPr>
          <w:bCs/>
        </w:rPr>
      </w:pPr>
      <w:r w:rsidRPr="00AA435A">
        <w:rPr>
          <w:bCs/>
        </w:rPr>
        <w:t>In all, there were 16 equations that were estimated, each model having four VECMs equation. As these equations were estimated through OLS, therefore the model was subject to inconsistencies such as the deviation of the error term from homoscedastic variance and the presence of serial correlation in the error terms and the departure of the error terms from normal distributions. Also, the equations suffered from the error terms having heteroskedastic variance. This problem imposes the issue that with heteroscedasticity present in the error terms, the value of t-statistics and the standard errors of the do not remain robust. Among different methods advised in the literature, I have used Newey West’s heteroscedasticity and autocorrelation consistent (HAC) standard errors method which is now routinely incorporated in EViews 8. This method makes the standard error of the coefficients more robust and makes inference made on the basis of it reliable. This method also accounts for addressing the presence of serial correlation between the error terms making the t-statistic of the coefficients to be more reliable. The precaution which is to be exercised is to have a large sample. Our data set contains 418 observations which is large enough to use this (Newey West) method.</w:t>
      </w:r>
    </w:p>
    <w:p w14:paraId="59EC021B" w14:textId="77777777" w:rsidR="00AA435A" w:rsidRPr="00AA435A" w:rsidRDefault="00AA435A" w:rsidP="009E6088">
      <w:pPr>
        <w:pStyle w:val="NormalWeb"/>
        <w:shd w:val="clear" w:color="auto" w:fill="FFFFFF"/>
        <w:spacing w:before="0" w:beforeAutospacing="0" w:after="0" w:afterAutospacing="0"/>
        <w:ind w:firstLine="720"/>
        <w:jc w:val="both"/>
        <w:rPr>
          <w:bCs/>
        </w:rPr>
      </w:pPr>
    </w:p>
    <w:p w14:paraId="532584BC" w14:textId="4E19ACC2" w:rsidR="00DD7712" w:rsidRDefault="00DD7712" w:rsidP="009E6088">
      <w:pPr>
        <w:pStyle w:val="NormalWeb"/>
        <w:shd w:val="clear" w:color="auto" w:fill="FFFFFF"/>
        <w:spacing w:before="0" w:beforeAutospacing="0" w:after="0" w:afterAutospacing="0"/>
        <w:ind w:firstLine="720"/>
        <w:jc w:val="both"/>
        <w:rPr>
          <w:bCs/>
        </w:rPr>
      </w:pPr>
      <w:r w:rsidRPr="00AA435A">
        <w:rPr>
          <w:bCs/>
        </w:rPr>
        <w:t xml:space="preserve">Also the </w:t>
      </w:r>
      <w:proofErr w:type="spellStart"/>
      <w:r w:rsidRPr="00AA435A">
        <w:rPr>
          <w:bCs/>
        </w:rPr>
        <w:t>Jarques-Bera</w:t>
      </w:r>
      <w:proofErr w:type="spellEnd"/>
      <w:r w:rsidRPr="00AA435A">
        <w:rPr>
          <w:bCs/>
        </w:rPr>
        <w:t xml:space="preserve"> rejects the null hypothesis of the error terms being normally distributed in all the sixteen equations, but this condition of the error terms being normally distributed is relaxed in large samples Gujarati (2011).</w:t>
      </w:r>
    </w:p>
    <w:p w14:paraId="4A057E58" w14:textId="77777777" w:rsidR="00AA435A" w:rsidRPr="00AA435A" w:rsidRDefault="00AA435A" w:rsidP="009E6088">
      <w:pPr>
        <w:pStyle w:val="NormalWeb"/>
        <w:shd w:val="clear" w:color="auto" w:fill="FFFFFF"/>
        <w:spacing w:before="0" w:beforeAutospacing="0" w:after="0" w:afterAutospacing="0"/>
        <w:ind w:firstLine="720"/>
        <w:jc w:val="both"/>
        <w:rPr>
          <w:bCs/>
        </w:rPr>
      </w:pPr>
    </w:p>
    <w:p w14:paraId="6161F62A" w14:textId="275D5026" w:rsidR="00DD7712" w:rsidRDefault="00DD7712" w:rsidP="009E6088">
      <w:pPr>
        <w:pStyle w:val="NormalWeb"/>
        <w:shd w:val="clear" w:color="auto" w:fill="FFFFFF"/>
        <w:spacing w:before="0" w:beforeAutospacing="0" w:after="0" w:afterAutospacing="0"/>
        <w:ind w:firstLine="720"/>
        <w:jc w:val="both"/>
        <w:rPr>
          <w:bCs/>
        </w:rPr>
      </w:pPr>
      <w:r w:rsidRPr="00AA435A">
        <w:rPr>
          <w:bCs/>
        </w:rPr>
        <w:t xml:space="preserve">Then, </w:t>
      </w:r>
      <w:r w:rsidR="00736563">
        <w:rPr>
          <w:bCs/>
        </w:rPr>
        <w:t>we</w:t>
      </w:r>
      <w:r w:rsidRPr="00AA435A">
        <w:rPr>
          <w:bCs/>
        </w:rPr>
        <w:t xml:space="preserve"> move to check the weak exogeneity of the variables included in the model to check whether there is a short run relationship between the variables or not. </w:t>
      </w:r>
      <w:r w:rsidR="00465D80">
        <w:rPr>
          <w:bCs/>
        </w:rPr>
        <w:t>we</w:t>
      </w:r>
      <w:r w:rsidRPr="00AA435A">
        <w:rPr>
          <w:bCs/>
        </w:rPr>
        <w:t xml:space="preserve"> have used the Wald’s test which allows to impose restrictions on the coefficients of the model and after that generates the results of the F-statistic. (Also known as Granger causality test) If the value is greater than the critical value then the null hypothesis of the test is rejected. The restriction was imposed on all of the lags of a particular market one by one that the coefficients of the lags of the market do not explain the movement of the dependent market. This method was done with four </w:t>
      </w:r>
      <w:r w:rsidR="003A7222" w:rsidRPr="00AA435A">
        <w:rPr>
          <w:bCs/>
        </w:rPr>
        <w:t>equations</w:t>
      </w:r>
      <w:r w:rsidRPr="00AA435A">
        <w:rPr>
          <w:bCs/>
        </w:rPr>
        <w:t xml:space="preserve"> in each of the model containing the established market by making the first difference of the market as the dependent variable. The comments on each of the four models are as under. The results are reported in table 4.</w:t>
      </w:r>
    </w:p>
    <w:p w14:paraId="0063DD55" w14:textId="77777777" w:rsidR="00AA435A" w:rsidRPr="00AA435A" w:rsidRDefault="00AA435A" w:rsidP="009E6088">
      <w:pPr>
        <w:pStyle w:val="NormalWeb"/>
        <w:shd w:val="clear" w:color="auto" w:fill="FFFFFF"/>
        <w:spacing w:before="0" w:beforeAutospacing="0" w:after="0" w:afterAutospacing="0"/>
        <w:ind w:firstLine="720"/>
        <w:jc w:val="both"/>
        <w:rPr>
          <w:bCs/>
        </w:rPr>
      </w:pPr>
    </w:p>
    <w:p w14:paraId="062D893F" w14:textId="2FAB6D64" w:rsidR="00DD7712" w:rsidRPr="003A7222" w:rsidRDefault="00DD7712" w:rsidP="00C956BA">
      <w:pPr>
        <w:pStyle w:val="Heading3"/>
        <w:numPr>
          <w:ilvl w:val="2"/>
          <w:numId w:val="3"/>
        </w:numPr>
        <w:spacing w:line="240" w:lineRule="auto"/>
        <w:ind w:left="720"/>
      </w:pPr>
      <w:r w:rsidRPr="003A7222">
        <w:t xml:space="preserve">Stock Price </w:t>
      </w:r>
      <w:r w:rsidR="00736563">
        <w:t>I</w:t>
      </w:r>
      <w:r w:rsidRPr="003A7222">
        <w:t>ndex – USA VECM</w:t>
      </w:r>
    </w:p>
    <w:p w14:paraId="1BF6DD27" w14:textId="020551E6" w:rsidR="00DD7712" w:rsidRDefault="00DD7712" w:rsidP="009E6088">
      <w:pPr>
        <w:pStyle w:val="NormalWeb"/>
        <w:shd w:val="clear" w:color="auto" w:fill="FFFFFF"/>
        <w:spacing w:before="0" w:beforeAutospacing="0" w:after="0" w:afterAutospacing="0"/>
        <w:ind w:firstLine="720"/>
        <w:jc w:val="both"/>
        <w:rPr>
          <w:bCs/>
        </w:rPr>
      </w:pPr>
      <w:r w:rsidRPr="00AA435A">
        <w:rPr>
          <w:bCs/>
        </w:rPr>
        <w:t xml:space="preserve">The market of the USA is found to be exogenous markets in the model in the short run meaning that the market is not affected by the movements of other markets </w:t>
      </w:r>
      <w:r w:rsidR="00AA435A" w:rsidRPr="00AA435A">
        <w:rPr>
          <w:bCs/>
        </w:rPr>
        <w:t>i.e.,</w:t>
      </w:r>
      <w:r w:rsidRPr="00AA435A">
        <w:rPr>
          <w:bCs/>
        </w:rPr>
        <w:t xml:space="preserve"> India, Pakistan and China in the short run. The Pakistani market is only affected by the movements in the US market in the short run. The coefficient of the error term in this equation is not significant implying that the Pakistani market does not correct itself in the short run to restore the long-run equilibrium. In case of the USA, the long term channel is active implying that the US market bears the burden of short-run adjustment to the long run. Interestingly, the Indian market and the Chinese market both are affected by the movements in the US market in the short run and the coefficient of the ECT is also significant meaning that the deviations from cointegration in the relationship is primarily caused in the Indian and the Chinese market in the short run to restore long-run equilibrium pattern. To conclude we can say that the markets of China, Pakistan and India are affected by fluctuations in the US market in the short run thereby indicating that the each of the regional market included in the study is affected in the short run by fluctuations in the stock market. The markets of US, China and India correct themselves in the short run to retain the long-run equilibrium between the markets.</w:t>
      </w:r>
    </w:p>
    <w:p w14:paraId="2123A838" w14:textId="77777777" w:rsidR="003A7222" w:rsidRPr="00AA435A" w:rsidRDefault="003A7222" w:rsidP="009E6088">
      <w:pPr>
        <w:pStyle w:val="NormalWeb"/>
        <w:shd w:val="clear" w:color="auto" w:fill="FFFFFF"/>
        <w:spacing w:before="0" w:beforeAutospacing="0" w:after="0" w:afterAutospacing="0"/>
        <w:ind w:firstLine="720"/>
        <w:jc w:val="both"/>
        <w:rPr>
          <w:bCs/>
        </w:rPr>
      </w:pPr>
    </w:p>
    <w:p w14:paraId="688EDB89" w14:textId="77A749DD" w:rsidR="00DD7712" w:rsidRPr="003A7222" w:rsidRDefault="00DD7712" w:rsidP="00C956BA">
      <w:pPr>
        <w:pStyle w:val="Heading3"/>
        <w:numPr>
          <w:ilvl w:val="2"/>
          <w:numId w:val="3"/>
        </w:numPr>
        <w:spacing w:line="240" w:lineRule="auto"/>
        <w:ind w:left="720"/>
      </w:pPr>
      <w:r w:rsidRPr="003A7222">
        <w:t>Stock Price Index – UK VECM</w:t>
      </w:r>
    </w:p>
    <w:p w14:paraId="4B8903B7" w14:textId="6A0B6AFC" w:rsidR="00DD7712" w:rsidRDefault="00DD7712" w:rsidP="009E6088">
      <w:pPr>
        <w:pStyle w:val="NormalWeb"/>
        <w:shd w:val="clear" w:color="auto" w:fill="FFFFFF"/>
        <w:spacing w:before="0" w:beforeAutospacing="0" w:after="0" w:afterAutospacing="0"/>
        <w:ind w:firstLine="720"/>
        <w:jc w:val="both"/>
        <w:rPr>
          <w:bCs/>
        </w:rPr>
      </w:pPr>
      <w:r w:rsidRPr="003A7222">
        <w:rPr>
          <w:bCs/>
        </w:rPr>
        <w:t xml:space="preserve">When the established market is UK in the model instead of the US, the Pakistani market continues to be exogenous in the short run and the </w:t>
      </w:r>
      <w:proofErr w:type="spellStart"/>
      <w:r w:rsidRPr="003A7222">
        <w:rPr>
          <w:bCs/>
        </w:rPr>
        <w:t>longrun</w:t>
      </w:r>
      <w:proofErr w:type="spellEnd"/>
      <w:r w:rsidRPr="003A7222">
        <w:rPr>
          <w:bCs/>
        </w:rPr>
        <w:t>. The markets of China and India continue to be influenced by the established market of the UK in the short run. In this model, the U</w:t>
      </w:r>
      <w:r w:rsidR="003A7222">
        <w:rPr>
          <w:bCs/>
        </w:rPr>
        <w:t>K</w:t>
      </w:r>
      <w:r w:rsidRPr="003A7222">
        <w:rPr>
          <w:bCs/>
        </w:rPr>
        <w:t xml:space="preserve"> is the stock price along with the Chinese market index in which the ECTs is significant implying that the UK market and the Chinese market change themselves in the short run to retain long-run equilibrium between the markets.</w:t>
      </w:r>
    </w:p>
    <w:p w14:paraId="5314387C" w14:textId="77777777" w:rsidR="00465D80" w:rsidRPr="003A7222" w:rsidRDefault="00465D80" w:rsidP="009E6088">
      <w:pPr>
        <w:pStyle w:val="NormalWeb"/>
        <w:shd w:val="clear" w:color="auto" w:fill="FFFFFF"/>
        <w:spacing w:before="0" w:beforeAutospacing="0" w:after="0" w:afterAutospacing="0"/>
        <w:ind w:firstLine="720"/>
        <w:jc w:val="both"/>
        <w:rPr>
          <w:bCs/>
        </w:rPr>
      </w:pPr>
    </w:p>
    <w:p w14:paraId="6260615D" w14:textId="6D165DEB" w:rsidR="00DD7712" w:rsidRPr="003A7222" w:rsidRDefault="00DD7712" w:rsidP="00C956BA">
      <w:pPr>
        <w:pStyle w:val="Heading3"/>
        <w:numPr>
          <w:ilvl w:val="2"/>
          <w:numId w:val="3"/>
        </w:numPr>
        <w:spacing w:line="240" w:lineRule="auto"/>
        <w:ind w:left="720"/>
      </w:pPr>
      <w:r w:rsidRPr="003A7222">
        <w:t xml:space="preserve">Stock </w:t>
      </w:r>
      <w:r w:rsidR="00736563">
        <w:t>P</w:t>
      </w:r>
      <w:r w:rsidRPr="003A7222">
        <w:t xml:space="preserve">rice </w:t>
      </w:r>
      <w:r w:rsidR="00736563">
        <w:t>I</w:t>
      </w:r>
      <w:r w:rsidRPr="003A7222">
        <w:t xml:space="preserve">ndex – </w:t>
      </w:r>
      <w:r w:rsidR="00736563" w:rsidRPr="003A7222">
        <w:t>Germany</w:t>
      </w:r>
      <w:r w:rsidRPr="003A7222">
        <w:t xml:space="preserve"> VECM:</w:t>
      </w:r>
    </w:p>
    <w:p w14:paraId="26841D7B" w14:textId="49C7DF50" w:rsidR="00DD7712" w:rsidRDefault="00DD7712" w:rsidP="009E6088">
      <w:pPr>
        <w:pStyle w:val="NormalWeb"/>
        <w:shd w:val="clear" w:color="auto" w:fill="FFFFFF"/>
        <w:spacing w:before="0" w:beforeAutospacing="0" w:after="0" w:afterAutospacing="0"/>
        <w:ind w:firstLine="720"/>
        <w:jc w:val="both"/>
        <w:rPr>
          <w:bCs/>
        </w:rPr>
      </w:pPr>
      <w:r w:rsidRPr="003A7222">
        <w:rPr>
          <w:bCs/>
        </w:rPr>
        <w:t>The ECT of the German market in this system is active along with the Indian market implying that these two markets bear the brunt of short-run adjustment to the long run. Again in this model the Chinese, the Pakistani and the Indian market continue to be led by the changes in the established market of Germany in the short run results consistent to the US model.</w:t>
      </w:r>
    </w:p>
    <w:p w14:paraId="13CED9FB" w14:textId="77777777" w:rsidR="00465D80" w:rsidRPr="003A7222" w:rsidRDefault="00465D80" w:rsidP="009E6088">
      <w:pPr>
        <w:pStyle w:val="NormalWeb"/>
        <w:shd w:val="clear" w:color="auto" w:fill="FFFFFF"/>
        <w:spacing w:before="0" w:beforeAutospacing="0" w:after="0" w:afterAutospacing="0"/>
        <w:ind w:firstLine="720"/>
        <w:jc w:val="both"/>
        <w:rPr>
          <w:bCs/>
        </w:rPr>
      </w:pPr>
    </w:p>
    <w:p w14:paraId="356BB25A" w14:textId="6A30B7E3" w:rsidR="00DD7712" w:rsidRPr="00465D80" w:rsidRDefault="00DD7712" w:rsidP="00C956BA">
      <w:pPr>
        <w:pStyle w:val="Heading3"/>
        <w:numPr>
          <w:ilvl w:val="2"/>
          <w:numId w:val="3"/>
        </w:numPr>
        <w:spacing w:line="240" w:lineRule="auto"/>
        <w:ind w:left="720"/>
      </w:pPr>
      <w:r w:rsidRPr="00465D80">
        <w:t>Stock Price Index – Japan VECM:</w:t>
      </w:r>
    </w:p>
    <w:p w14:paraId="7FA60926" w14:textId="36CB277E" w:rsidR="00DD7712" w:rsidRDefault="00DD7712" w:rsidP="009E6088">
      <w:pPr>
        <w:pStyle w:val="NormalWeb"/>
        <w:shd w:val="clear" w:color="auto" w:fill="FFFFFF"/>
        <w:spacing w:before="0" w:beforeAutospacing="0" w:after="0" w:afterAutospacing="0"/>
        <w:ind w:firstLine="720"/>
        <w:jc w:val="both"/>
        <w:rPr>
          <w:bCs/>
        </w:rPr>
      </w:pPr>
      <w:r w:rsidRPr="00465D80">
        <w:rPr>
          <w:bCs/>
        </w:rPr>
        <w:t>In this model, the Pakistani market continues be the exogenous market. However, interestingly changes in the Pakistani market and the Chinese market in the short run causes influences in the Japanese markets. The Japanese market continues to bear the burden of the adjustment by changes in the short run to retain the long run along with the Indian market and the Chinese market. Interestingly, the Indian market is significant in explaining short term linkages in the Chinese model.</w:t>
      </w:r>
    </w:p>
    <w:p w14:paraId="2AB6D1DC" w14:textId="09ACD699" w:rsidR="00465D80" w:rsidRDefault="00465D80" w:rsidP="009E6088">
      <w:pPr>
        <w:pStyle w:val="NormalWeb"/>
        <w:shd w:val="clear" w:color="auto" w:fill="FFFFFF"/>
        <w:spacing w:before="0" w:beforeAutospacing="0" w:after="0" w:afterAutospacing="0"/>
        <w:ind w:firstLine="720"/>
        <w:jc w:val="both"/>
        <w:rPr>
          <w:bCs/>
        </w:rPr>
      </w:pPr>
    </w:p>
    <w:p w14:paraId="46B15278" w14:textId="1BB5A9DA" w:rsidR="00F26101" w:rsidRDefault="00F26101" w:rsidP="009E6088">
      <w:pPr>
        <w:pStyle w:val="NormalWeb"/>
        <w:shd w:val="clear" w:color="auto" w:fill="FFFFFF"/>
        <w:spacing w:before="0" w:beforeAutospacing="0" w:after="0" w:afterAutospacing="0"/>
        <w:ind w:firstLine="720"/>
        <w:jc w:val="both"/>
        <w:rPr>
          <w:bCs/>
        </w:rPr>
      </w:pPr>
    </w:p>
    <w:p w14:paraId="2341C506" w14:textId="2D302CD4" w:rsidR="00F26101" w:rsidRDefault="00F26101" w:rsidP="009E6088">
      <w:pPr>
        <w:pStyle w:val="NormalWeb"/>
        <w:shd w:val="clear" w:color="auto" w:fill="FFFFFF"/>
        <w:spacing w:before="0" w:beforeAutospacing="0" w:after="0" w:afterAutospacing="0"/>
        <w:ind w:firstLine="720"/>
        <w:jc w:val="both"/>
        <w:rPr>
          <w:bCs/>
        </w:rPr>
      </w:pPr>
    </w:p>
    <w:p w14:paraId="2C349CF4" w14:textId="7976119B" w:rsidR="00F26101" w:rsidRDefault="00F26101" w:rsidP="009E6088">
      <w:pPr>
        <w:pStyle w:val="NormalWeb"/>
        <w:shd w:val="clear" w:color="auto" w:fill="FFFFFF"/>
        <w:spacing w:before="0" w:beforeAutospacing="0" w:after="0" w:afterAutospacing="0"/>
        <w:ind w:firstLine="720"/>
        <w:jc w:val="both"/>
        <w:rPr>
          <w:bCs/>
        </w:rPr>
      </w:pPr>
    </w:p>
    <w:p w14:paraId="418E66C3" w14:textId="0F091FA2" w:rsidR="00F26101" w:rsidRDefault="00F26101" w:rsidP="009E6088">
      <w:pPr>
        <w:pStyle w:val="NormalWeb"/>
        <w:shd w:val="clear" w:color="auto" w:fill="FFFFFF"/>
        <w:spacing w:before="0" w:beforeAutospacing="0" w:after="0" w:afterAutospacing="0"/>
        <w:ind w:firstLine="720"/>
        <w:jc w:val="both"/>
        <w:rPr>
          <w:bCs/>
        </w:rPr>
      </w:pPr>
    </w:p>
    <w:p w14:paraId="6C0F46B1" w14:textId="2117E106" w:rsidR="00F26101" w:rsidRDefault="00F26101" w:rsidP="009E6088">
      <w:pPr>
        <w:pStyle w:val="NormalWeb"/>
        <w:shd w:val="clear" w:color="auto" w:fill="FFFFFF"/>
        <w:spacing w:before="0" w:beforeAutospacing="0" w:after="0" w:afterAutospacing="0"/>
        <w:ind w:firstLine="720"/>
        <w:jc w:val="both"/>
        <w:rPr>
          <w:bCs/>
        </w:rPr>
      </w:pPr>
    </w:p>
    <w:p w14:paraId="2C206C3C" w14:textId="72E51774" w:rsidR="00F26101" w:rsidRDefault="00F26101" w:rsidP="009E6088">
      <w:pPr>
        <w:pStyle w:val="NormalWeb"/>
        <w:shd w:val="clear" w:color="auto" w:fill="FFFFFF"/>
        <w:spacing w:before="0" w:beforeAutospacing="0" w:after="0" w:afterAutospacing="0"/>
        <w:ind w:firstLine="720"/>
        <w:jc w:val="both"/>
        <w:rPr>
          <w:bCs/>
        </w:rPr>
      </w:pPr>
    </w:p>
    <w:p w14:paraId="59C1BF4A" w14:textId="77777777" w:rsidR="00F26101" w:rsidRPr="00465D80" w:rsidRDefault="00F26101" w:rsidP="009E6088">
      <w:pPr>
        <w:pStyle w:val="NormalWeb"/>
        <w:shd w:val="clear" w:color="auto" w:fill="FFFFFF"/>
        <w:spacing w:before="0" w:beforeAutospacing="0" w:after="0" w:afterAutospacing="0"/>
        <w:ind w:firstLine="720"/>
        <w:jc w:val="both"/>
        <w:rPr>
          <w:bCs/>
        </w:rPr>
      </w:pPr>
    </w:p>
    <w:p w14:paraId="1A45FAA2" w14:textId="65871886" w:rsidR="00F26101" w:rsidRDefault="00DD7712" w:rsidP="009E6088">
      <w:pPr>
        <w:pStyle w:val="NoSpacing"/>
        <w:rPr>
          <w:rFonts w:ascii="Times New Roman" w:eastAsia="Times New Roman" w:hAnsi="Times New Roman" w:cs="Times New Roman"/>
          <w:b/>
          <w:sz w:val="20"/>
          <w:szCs w:val="20"/>
        </w:rPr>
      </w:pPr>
      <w:r w:rsidRPr="00F26101">
        <w:rPr>
          <w:rFonts w:ascii="Times New Roman" w:eastAsia="Times New Roman" w:hAnsi="Times New Roman" w:cs="Times New Roman"/>
          <w:b/>
          <w:sz w:val="20"/>
          <w:szCs w:val="20"/>
        </w:rPr>
        <w:t xml:space="preserve">Table </w:t>
      </w:r>
      <w:r w:rsidR="008C13EE">
        <w:rPr>
          <w:rFonts w:ascii="Times New Roman" w:eastAsia="Times New Roman" w:hAnsi="Times New Roman" w:cs="Times New Roman"/>
          <w:b/>
          <w:sz w:val="20"/>
          <w:szCs w:val="20"/>
        </w:rPr>
        <w:t>4</w:t>
      </w:r>
      <w:r w:rsidRPr="00F26101">
        <w:rPr>
          <w:rFonts w:ascii="Times New Roman" w:eastAsia="Times New Roman" w:hAnsi="Times New Roman" w:cs="Times New Roman"/>
          <w:b/>
          <w:sz w:val="20"/>
          <w:szCs w:val="20"/>
        </w:rPr>
        <w:t>.4</w:t>
      </w:r>
    </w:p>
    <w:p w14:paraId="1FB9EA92" w14:textId="2CD248F7" w:rsidR="00DD7712" w:rsidRPr="00F26101" w:rsidRDefault="00DD7712" w:rsidP="009E6088">
      <w:pPr>
        <w:pStyle w:val="NoSpacing"/>
        <w:rPr>
          <w:rFonts w:ascii="Times New Roman" w:eastAsia="Times New Roman" w:hAnsi="Times New Roman" w:cs="Times New Roman"/>
          <w:b/>
          <w:i/>
          <w:iCs/>
          <w:sz w:val="20"/>
          <w:szCs w:val="20"/>
        </w:rPr>
      </w:pPr>
      <w:r w:rsidRPr="00F26101">
        <w:rPr>
          <w:rFonts w:ascii="Times New Roman" w:eastAsia="Times New Roman" w:hAnsi="Times New Roman" w:cs="Times New Roman"/>
          <w:b/>
          <w:i/>
          <w:iCs/>
          <w:sz w:val="20"/>
          <w:szCs w:val="20"/>
        </w:rPr>
        <w:t>VECM results based on four models including USA, UK, Germany and Japan</w:t>
      </w:r>
    </w:p>
    <w:tbl>
      <w:tblPr>
        <w:tblW w:w="5000" w:type="pct"/>
        <w:tblBorders>
          <w:top w:val="single" w:sz="12" w:space="0" w:color="auto"/>
          <w:bottom w:val="single" w:sz="12" w:space="0" w:color="auto"/>
        </w:tblBorders>
        <w:tblLook w:val="04A0" w:firstRow="1" w:lastRow="0" w:firstColumn="1" w:lastColumn="0" w:noHBand="0" w:noVBand="1"/>
      </w:tblPr>
      <w:tblGrid>
        <w:gridCol w:w="647"/>
        <w:gridCol w:w="261"/>
        <w:gridCol w:w="945"/>
        <w:gridCol w:w="956"/>
        <w:gridCol w:w="896"/>
        <w:gridCol w:w="896"/>
        <w:gridCol w:w="263"/>
        <w:gridCol w:w="1418"/>
      </w:tblGrid>
      <w:tr w:rsidR="00DD7712" w:rsidRPr="00065CF0" w14:paraId="5D0C2D77" w14:textId="77777777" w:rsidTr="00F26101">
        <w:trPr>
          <w:trHeight w:val="300"/>
        </w:trPr>
        <w:tc>
          <w:tcPr>
            <w:tcW w:w="5000" w:type="pct"/>
            <w:gridSpan w:val="8"/>
            <w:tcBorders>
              <w:top w:val="single" w:sz="12" w:space="0" w:color="auto"/>
              <w:bottom w:val="single" w:sz="4" w:space="0" w:color="auto"/>
            </w:tcBorders>
            <w:shd w:val="clear" w:color="auto" w:fill="auto"/>
            <w:noWrap/>
            <w:vAlign w:val="bottom"/>
            <w:hideMark/>
          </w:tcPr>
          <w:p w14:paraId="3A68AEF1" w14:textId="0A60B095" w:rsidR="00DD7712" w:rsidRPr="00065CF0" w:rsidRDefault="00DD7712" w:rsidP="009E6088">
            <w:pPr>
              <w:spacing w:after="0" w:line="240" w:lineRule="auto"/>
              <w:jc w:val="center"/>
              <w:rPr>
                <w:rFonts w:eastAsia="Times New Roman" w:cs="Times New Roman"/>
                <w:color w:val="000000"/>
                <w:sz w:val="18"/>
                <w:szCs w:val="18"/>
              </w:rPr>
            </w:pPr>
            <w:r w:rsidRPr="00065CF0">
              <w:rPr>
                <w:rFonts w:eastAsia="Times New Roman" w:cs="Times New Roman"/>
                <w:color w:val="000000"/>
                <w:sz w:val="18"/>
                <w:szCs w:val="18"/>
              </w:rPr>
              <w:t>F</w:t>
            </w:r>
            <w:r w:rsidR="00065CF0">
              <w:rPr>
                <w:rFonts w:eastAsia="Times New Roman" w:cs="Times New Roman"/>
                <w:color w:val="000000"/>
                <w:sz w:val="18"/>
                <w:szCs w:val="18"/>
              </w:rPr>
              <w:t xml:space="preserve"> S</w:t>
            </w:r>
            <w:r w:rsidRPr="00065CF0">
              <w:rPr>
                <w:rFonts w:eastAsia="Times New Roman" w:cs="Times New Roman"/>
                <w:color w:val="000000"/>
                <w:sz w:val="18"/>
                <w:szCs w:val="18"/>
              </w:rPr>
              <w:t>tatistic</w:t>
            </w:r>
          </w:p>
        </w:tc>
      </w:tr>
      <w:tr w:rsidR="00F26101" w:rsidRPr="00065CF0" w14:paraId="3F016FAF" w14:textId="77777777" w:rsidTr="00065CF0">
        <w:trPr>
          <w:trHeight w:val="300"/>
        </w:trPr>
        <w:tc>
          <w:tcPr>
            <w:tcW w:w="723" w:type="pct"/>
            <w:gridSpan w:val="2"/>
            <w:tcBorders>
              <w:top w:val="single" w:sz="4" w:space="0" w:color="auto"/>
              <w:bottom w:val="single" w:sz="4" w:space="0" w:color="auto"/>
            </w:tcBorders>
            <w:shd w:val="clear" w:color="auto" w:fill="auto"/>
            <w:noWrap/>
            <w:vAlign w:val="bottom"/>
            <w:hideMark/>
          </w:tcPr>
          <w:p w14:paraId="373906DF" w14:textId="53293F8C" w:rsidR="00DD7712" w:rsidRPr="00065CF0" w:rsidRDefault="00DD7712" w:rsidP="009E6088">
            <w:pPr>
              <w:spacing w:after="0" w:line="240" w:lineRule="auto"/>
              <w:jc w:val="both"/>
              <w:rPr>
                <w:rFonts w:eastAsia="Times New Roman" w:cs="Times New Roman"/>
                <w:color w:val="000000"/>
                <w:sz w:val="18"/>
                <w:szCs w:val="18"/>
              </w:rPr>
            </w:pPr>
          </w:p>
        </w:tc>
        <w:tc>
          <w:tcPr>
            <w:tcW w:w="752" w:type="pct"/>
            <w:tcBorders>
              <w:top w:val="single" w:sz="4" w:space="0" w:color="auto"/>
              <w:bottom w:val="single" w:sz="4" w:space="0" w:color="auto"/>
            </w:tcBorders>
            <w:shd w:val="clear" w:color="auto" w:fill="auto"/>
            <w:noWrap/>
            <w:vAlign w:val="bottom"/>
            <w:hideMark/>
          </w:tcPr>
          <w:p w14:paraId="21C96E48"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∆SPI</w:t>
            </w:r>
          </w:p>
        </w:tc>
        <w:tc>
          <w:tcPr>
            <w:tcW w:w="761" w:type="pct"/>
            <w:tcBorders>
              <w:top w:val="single" w:sz="4" w:space="0" w:color="auto"/>
              <w:bottom w:val="single" w:sz="4" w:space="0" w:color="auto"/>
            </w:tcBorders>
            <w:shd w:val="clear" w:color="auto" w:fill="auto"/>
            <w:noWrap/>
            <w:vAlign w:val="bottom"/>
            <w:hideMark/>
          </w:tcPr>
          <w:p w14:paraId="47988EC2"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∆PK</w:t>
            </w:r>
          </w:p>
        </w:tc>
        <w:tc>
          <w:tcPr>
            <w:tcW w:w="713" w:type="pct"/>
            <w:tcBorders>
              <w:top w:val="single" w:sz="4" w:space="0" w:color="auto"/>
              <w:bottom w:val="single" w:sz="4" w:space="0" w:color="auto"/>
            </w:tcBorders>
            <w:shd w:val="clear" w:color="auto" w:fill="auto"/>
            <w:noWrap/>
            <w:vAlign w:val="bottom"/>
            <w:hideMark/>
          </w:tcPr>
          <w:p w14:paraId="42A970B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∆IND</w:t>
            </w:r>
          </w:p>
        </w:tc>
        <w:tc>
          <w:tcPr>
            <w:tcW w:w="713" w:type="pct"/>
            <w:tcBorders>
              <w:top w:val="single" w:sz="4" w:space="0" w:color="auto"/>
              <w:bottom w:val="single" w:sz="4" w:space="0" w:color="auto"/>
            </w:tcBorders>
            <w:shd w:val="clear" w:color="auto" w:fill="auto"/>
            <w:noWrap/>
            <w:vAlign w:val="bottom"/>
            <w:hideMark/>
          </w:tcPr>
          <w:p w14:paraId="7955AD7C"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∆CN</w:t>
            </w:r>
          </w:p>
        </w:tc>
        <w:tc>
          <w:tcPr>
            <w:tcW w:w="1338" w:type="pct"/>
            <w:gridSpan w:val="2"/>
            <w:tcBorders>
              <w:top w:val="single" w:sz="4" w:space="0" w:color="auto"/>
              <w:bottom w:val="single" w:sz="4" w:space="0" w:color="auto"/>
            </w:tcBorders>
            <w:shd w:val="clear" w:color="auto" w:fill="auto"/>
            <w:noWrap/>
            <w:vAlign w:val="bottom"/>
            <w:hideMark/>
          </w:tcPr>
          <w:p w14:paraId="66ED772A"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t - statistic, ECT(-1)</w:t>
            </w:r>
          </w:p>
        </w:tc>
      </w:tr>
      <w:tr w:rsidR="00065CF0" w:rsidRPr="00065CF0" w14:paraId="32E3CE44" w14:textId="77777777" w:rsidTr="00065CF0">
        <w:trPr>
          <w:trHeight w:val="300"/>
        </w:trPr>
        <w:tc>
          <w:tcPr>
            <w:tcW w:w="5000" w:type="pct"/>
            <w:gridSpan w:val="8"/>
            <w:tcBorders>
              <w:top w:val="single" w:sz="4" w:space="0" w:color="auto"/>
              <w:bottom w:val="single" w:sz="4" w:space="0" w:color="auto"/>
            </w:tcBorders>
            <w:shd w:val="clear" w:color="auto" w:fill="auto"/>
            <w:vAlign w:val="center"/>
            <w:hideMark/>
          </w:tcPr>
          <w:p w14:paraId="1AB87EC3" w14:textId="77777777" w:rsidR="00065CF0" w:rsidRPr="00065CF0" w:rsidRDefault="00065CF0" w:rsidP="009E6088">
            <w:pPr>
              <w:spacing w:after="0" w:line="240" w:lineRule="auto"/>
              <w:jc w:val="center"/>
              <w:rPr>
                <w:rFonts w:eastAsia="Times New Roman" w:cs="Times New Roman"/>
                <w:color w:val="000000"/>
                <w:sz w:val="18"/>
                <w:szCs w:val="18"/>
              </w:rPr>
            </w:pPr>
            <w:r w:rsidRPr="00065CF0">
              <w:rPr>
                <w:rFonts w:eastAsia="Times New Roman" w:cs="Times New Roman"/>
                <w:color w:val="000000"/>
                <w:sz w:val="18"/>
                <w:szCs w:val="18"/>
              </w:rPr>
              <w:t>SPI = USA</w:t>
            </w:r>
          </w:p>
        </w:tc>
      </w:tr>
      <w:tr w:rsidR="00F26101" w:rsidRPr="00065CF0" w14:paraId="593B25A6" w14:textId="77777777" w:rsidTr="00065CF0">
        <w:trPr>
          <w:trHeight w:val="300"/>
        </w:trPr>
        <w:tc>
          <w:tcPr>
            <w:tcW w:w="515" w:type="pct"/>
            <w:tcBorders>
              <w:top w:val="single" w:sz="4" w:space="0" w:color="auto"/>
            </w:tcBorders>
            <w:shd w:val="clear" w:color="auto" w:fill="auto"/>
            <w:noWrap/>
            <w:vAlign w:val="bottom"/>
            <w:hideMark/>
          </w:tcPr>
          <w:p w14:paraId="686CCED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∆SPI</w:t>
            </w:r>
          </w:p>
        </w:tc>
        <w:tc>
          <w:tcPr>
            <w:tcW w:w="208" w:type="pct"/>
            <w:vMerge w:val="restart"/>
            <w:tcBorders>
              <w:top w:val="single" w:sz="4" w:space="0" w:color="auto"/>
            </w:tcBorders>
            <w:shd w:val="clear" w:color="auto" w:fill="auto"/>
            <w:noWrap/>
            <w:vAlign w:val="bottom"/>
            <w:hideMark/>
          </w:tcPr>
          <w:p w14:paraId="3148A4B1"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52" w:type="pct"/>
            <w:tcBorders>
              <w:top w:val="single" w:sz="4" w:space="0" w:color="auto"/>
            </w:tcBorders>
            <w:shd w:val="clear" w:color="auto" w:fill="auto"/>
            <w:noWrap/>
            <w:vAlign w:val="bottom"/>
            <w:hideMark/>
          </w:tcPr>
          <w:p w14:paraId="4AE2DAD0"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61" w:type="pct"/>
            <w:tcBorders>
              <w:top w:val="single" w:sz="4" w:space="0" w:color="auto"/>
            </w:tcBorders>
            <w:shd w:val="clear" w:color="auto" w:fill="auto"/>
            <w:noWrap/>
            <w:vAlign w:val="bottom"/>
            <w:hideMark/>
          </w:tcPr>
          <w:p w14:paraId="7BF1467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0.285746</w:t>
            </w:r>
          </w:p>
        </w:tc>
        <w:tc>
          <w:tcPr>
            <w:tcW w:w="713" w:type="pct"/>
            <w:tcBorders>
              <w:top w:val="single" w:sz="4" w:space="0" w:color="auto"/>
            </w:tcBorders>
            <w:shd w:val="clear" w:color="auto" w:fill="auto"/>
            <w:noWrap/>
            <w:vAlign w:val="bottom"/>
            <w:hideMark/>
          </w:tcPr>
          <w:p w14:paraId="72290218"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0.05559</w:t>
            </w:r>
          </w:p>
        </w:tc>
        <w:tc>
          <w:tcPr>
            <w:tcW w:w="713" w:type="pct"/>
            <w:tcBorders>
              <w:top w:val="single" w:sz="4" w:space="0" w:color="auto"/>
            </w:tcBorders>
            <w:shd w:val="clear" w:color="auto" w:fill="auto"/>
            <w:noWrap/>
            <w:vAlign w:val="bottom"/>
            <w:hideMark/>
          </w:tcPr>
          <w:p w14:paraId="2A423BD8"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0.670495</w:t>
            </w:r>
          </w:p>
        </w:tc>
        <w:tc>
          <w:tcPr>
            <w:tcW w:w="209" w:type="pct"/>
            <w:tcBorders>
              <w:top w:val="single" w:sz="4" w:space="0" w:color="auto"/>
            </w:tcBorders>
            <w:shd w:val="clear" w:color="auto" w:fill="auto"/>
            <w:noWrap/>
            <w:vAlign w:val="bottom"/>
            <w:hideMark/>
          </w:tcPr>
          <w:p w14:paraId="49FEA150"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tcBorders>
              <w:top w:val="single" w:sz="4" w:space="0" w:color="auto"/>
            </w:tcBorders>
            <w:shd w:val="clear" w:color="auto" w:fill="auto"/>
            <w:noWrap/>
            <w:vAlign w:val="bottom"/>
            <w:hideMark/>
          </w:tcPr>
          <w:p w14:paraId="487F5DB8"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-4.09547</w:t>
            </w:r>
            <w:r w:rsidRPr="00065CF0">
              <w:rPr>
                <w:rFonts w:eastAsia="Times New Roman" w:cs="Times New Roman"/>
                <w:color w:val="000000"/>
                <w:sz w:val="18"/>
                <w:szCs w:val="18"/>
                <w:vertAlign w:val="superscript"/>
              </w:rPr>
              <w:t>a</w:t>
            </w:r>
          </w:p>
        </w:tc>
      </w:tr>
      <w:tr w:rsidR="00F26101" w:rsidRPr="00065CF0" w14:paraId="76F54520" w14:textId="77777777" w:rsidTr="00065CF0">
        <w:trPr>
          <w:trHeight w:val="300"/>
        </w:trPr>
        <w:tc>
          <w:tcPr>
            <w:tcW w:w="515" w:type="pct"/>
            <w:shd w:val="clear" w:color="auto" w:fill="auto"/>
            <w:noWrap/>
            <w:vAlign w:val="bottom"/>
            <w:hideMark/>
          </w:tcPr>
          <w:p w14:paraId="4D2027EC"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∆PK</w:t>
            </w:r>
          </w:p>
        </w:tc>
        <w:tc>
          <w:tcPr>
            <w:tcW w:w="208" w:type="pct"/>
            <w:vMerge/>
            <w:vAlign w:val="center"/>
            <w:hideMark/>
          </w:tcPr>
          <w:p w14:paraId="65A861AC"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07B7F4A1"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4.123832</w:t>
            </w:r>
            <w:r w:rsidRPr="00065CF0">
              <w:rPr>
                <w:rFonts w:eastAsia="Times New Roman" w:cs="Times New Roman"/>
                <w:color w:val="000000"/>
                <w:sz w:val="18"/>
                <w:szCs w:val="18"/>
                <w:vertAlign w:val="superscript"/>
              </w:rPr>
              <w:t>a</w:t>
            </w:r>
          </w:p>
        </w:tc>
        <w:tc>
          <w:tcPr>
            <w:tcW w:w="761" w:type="pct"/>
            <w:shd w:val="clear" w:color="auto" w:fill="auto"/>
            <w:noWrap/>
            <w:vAlign w:val="bottom"/>
            <w:hideMark/>
          </w:tcPr>
          <w:p w14:paraId="3730829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13" w:type="pct"/>
            <w:shd w:val="clear" w:color="auto" w:fill="auto"/>
            <w:noWrap/>
            <w:vAlign w:val="bottom"/>
            <w:hideMark/>
          </w:tcPr>
          <w:p w14:paraId="5B0F3E09"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0.01874</w:t>
            </w:r>
          </w:p>
        </w:tc>
        <w:tc>
          <w:tcPr>
            <w:tcW w:w="713" w:type="pct"/>
            <w:shd w:val="clear" w:color="auto" w:fill="auto"/>
            <w:noWrap/>
            <w:vAlign w:val="bottom"/>
            <w:hideMark/>
          </w:tcPr>
          <w:p w14:paraId="72CBD547"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0.444792</w:t>
            </w:r>
          </w:p>
        </w:tc>
        <w:tc>
          <w:tcPr>
            <w:tcW w:w="209" w:type="pct"/>
            <w:shd w:val="clear" w:color="auto" w:fill="auto"/>
            <w:noWrap/>
            <w:vAlign w:val="bottom"/>
            <w:hideMark/>
          </w:tcPr>
          <w:p w14:paraId="10C20838"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7EC216E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0.055207</w:t>
            </w:r>
          </w:p>
        </w:tc>
      </w:tr>
      <w:tr w:rsidR="00F26101" w:rsidRPr="00065CF0" w14:paraId="284A1C62" w14:textId="77777777" w:rsidTr="00065CF0">
        <w:trPr>
          <w:trHeight w:val="300"/>
        </w:trPr>
        <w:tc>
          <w:tcPr>
            <w:tcW w:w="515" w:type="pct"/>
            <w:shd w:val="clear" w:color="auto" w:fill="auto"/>
            <w:noWrap/>
            <w:vAlign w:val="bottom"/>
            <w:hideMark/>
          </w:tcPr>
          <w:p w14:paraId="3A69D93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∆IND</w:t>
            </w:r>
          </w:p>
        </w:tc>
        <w:tc>
          <w:tcPr>
            <w:tcW w:w="208" w:type="pct"/>
            <w:vMerge/>
            <w:vAlign w:val="center"/>
            <w:hideMark/>
          </w:tcPr>
          <w:p w14:paraId="09BF88F9"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13F67873"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4.668358</w:t>
            </w:r>
            <w:r w:rsidRPr="00065CF0">
              <w:rPr>
                <w:rFonts w:eastAsia="Times New Roman" w:cs="Times New Roman"/>
                <w:color w:val="000000"/>
                <w:sz w:val="18"/>
                <w:szCs w:val="18"/>
                <w:vertAlign w:val="superscript"/>
              </w:rPr>
              <w:t>a</w:t>
            </w:r>
          </w:p>
        </w:tc>
        <w:tc>
          <w:tcPr>
            <w:tcW w:w="761" w:type="pct"/>
            <w:shd w:val="clear" w:color="auto" w:fill="auto"/>
            <w:noWrap/>
            <w:vAlign w:val="bottom"/>
            <w:hideMark/>
          </w:tcPr>
          <w:p w14:paraId="71778BE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0.082108</w:t>
            </w:r>
          </w:p>
        </w:tc>
        <w:tc>
          <w:tcPr>
            <w:tcW w:w="713" w:type="pct"/>
            <w:shd w:val="clear" w:color="auto" w:fill="auto"/>
            <w:noWrap/>
            <w:vAlign w:val="bottom"/>
            <w:hideMark/>
          </w:tcPr>
          <w:p w14:paraId="123ED24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13" w:type="pct"/>
            <w:shd w:val="clear" w:color="auto" w:fill="auto"/>
            <w:noWrap/>
            <w:vAlign w:val="bottom"/>
            <w:hideMark/>
          </w:tcPr>
          <w:p w14:paraId="0F156122"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0.739483</w:t>
            </w:r>
          </w:p>
        </w:tc>
        <w:tc>
          <w:tcPr>
            <w:tcW w:w="209" w:type="pct"/>
            <w:shd w:val="clear" w:color="auto" w:fill="auto"/>
            <w:noWrap/>
            <w:vAlign w:val="bottom"/>
            <w:hideMark/>
          </w:tcPr>
          <w:p w14:paraId="423C1471"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15E90AA5"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-2.92681</w:t>
            </w:r>
            <w:r w:rsidRPr="00065CF0">
              <w:rPr>
                <w:rFonts w:eastAsia="Times New Roman" w:cs="Times New Roman"/>
                <w:color w:val="000000"/>
                <w:sz w:val="18"/>
                <w:szCs w:val="18"/>
                <w:vertAlign w:val="superscript"/>
              </w:rPr>
              <w:t>a</w:t>
            </w:r>
          </w:p>
        </w:tc>
      </w:tr>
      <w:tr w:rsidR="00F26101" w:rsidRPr="00065CF0" w14:paraId="1F1DE25F" w14:textId="77777777" w:rsidTr="00065CF0">
        <w:trPr>
          <w:trHeight w:val="300"/>
        </w:trPr>
        <w:tc>
          <w:tcPr>
            <w:tcW w:w="515" w:type="pct"/>
            <w:shd w:val="clear" w:color="auto" w:fill="auto"/>
            <w:noWrap/>
            <w:vAlign w:val="bottom"/>
            <w:hideMark/>
          </w:tcPr>
          <w:p w14:paraId="3E2F972C"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∆CN</w:t>
            </w:r>
          </w:p>
        </w:tc>
        <w:tc>
          <w:tcPr>
            <w:tcW w:w="208" w:type="pct"/>
            <w:vMerge/>
            <w:vAlign w:val="center"/>
            <w:hideMark/>
          </w:tcPr>
          <w:p w14:paraId="42C735F8"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6F6E53C4"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12.43397</w:t>
            </w:r>
            <w:r w:rsidRPr="00065CF0">
              <w:rPr>
                <w:rFonts w:eastAsia="Times New Roman" w:cs="Times New Roman"/>
                <w:color w:val="000000"/>
                <w:sz w:val="18"/>
                <w:szCs w:val="18"/>
                <w:vertAlign w:val="superscript"/>
              </w:rPr>
              <w:t>a</w:t>
            </w:r>
          </w:p>
        </w:tc>
        <w:tc>
          <w:tcPr>
            <w:tcW w:w="761" w:type="pct"/>
            <w:shd w:val="clear" w:color="auto" w:fill="auto"/>
            <w:noWrap/>
            <w:vAlign w:val="bottom"/>
            <w:hideMark/>
          </w:tcPr>
          <w:p w14:paraId="76907CE3"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0.002388</w:t>
            </w:r>
          </w:p>
        </w:tc>
        <w:tc>
          <w:tcPr>
            <w:tcW w:w="713" w:type="pct"/>
            <w:shd w:val="clear" w:color="auto" w:fill="auto"/>
            <w:noWrap/>
            <w:vAlign w:val="bottom"/>
            <w:hideMark/>
          </w:tcPr>
          <w:p w14:paraId="201405E1"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0.107059</w:t>
            </w:r>
          </w:p>
        </w:tc>
        <w:tc>
          <w:tcPr>
            <w:tcW w:w="713" w:type="pct"/>
            <w:shd w:val="clear" w:color="auto" w:fill="auto"/>
            <w:noWrap/>
            <w:vAlign w:val="bottom"/>
            <w:hideMark/>
          </w:tcPr>
          <w:p w14:paraId="3B32547E"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209" w:type="pct"/>
            <w:shd w:val="clear" w:color="auto" w:fill="auto"/>
            <w:noWrap/>
            <w:vAlign w:val="bottom"/>
            <w:hideMark/>
          </w:tcPr>
          <w:p w14:paraId="14E031C1"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77E173A1"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-2.6525</w:t>
            </w:r>
            <w:r w:rsidRPr="00065CF0">
              <w:rPr>
                <w:rFonts w:eastAsia="Times New Roman" w:cs="Times New Roman"/>
                <w:color w:val="000000"/>
                <w:sz w:val="18"/>
                <w:szCs w:val="18"/>
                <w:vertAlign w:val="superscript"/>
              </w:rPr>
              <w:t>a</w:t>
            </w:r>
          </w:p>
        </w:tc>
      </w:tr>
      <w:tr w:rsidR="00DD7712" w:rsidRPr="00065CF0" w14:paraId="1FFAF201" w14:textId="77777777" w:rsidTr="00065CF0">
        <w:trPr>
          <w:trHeight w:val="300"/>
        </w:trPr>
        <w:tc>
          <w:tcPr>
            <w:tcW w:w="5000" w:type="pct"/>
            <w:gridSpan w:val="8"/>
            <w:tcBorders>
              <w:top w:val="single" w:sz="4" w:space="0" w:color="auto"/>
              <w:bottom w:val="single" w:sz="4" w:space="0" w:color="auto"/>
            </w:tcBorders>
            <w:shd w:val="clear" w:color="auto" w:fill="auto"/>
            <w:noWrap/>
            <w:vAlign w:val="bottom"/>
            <w:hideMark/>
          </w:tcPr>
          <w:p w14:paraId="277DCBAA" w14:textId="409152FA" w:rsidR="00DD7712" w:rsidRPr="00065CF0" w:rsidRDefault="00DD7712" w:rsidP="009E6088">
            <w:pPr>
              <w:spacing w:after="0" w:line="240" w:lineRule="auto"/>
              <w:jc w:val="center"/>
              <w:rPr>
                <w:rFonts w:eastAsia="Times New Roman" w:cs="Times New Roman"/>
                <w:color w:val="000000"/>
                <w:sz w:val="18"/>
                <w:szCs w:val="18"/>
              </w:rPr>
            </w:pPr>
            <w:r w:rsidRPr="00065CF0">
              <w:rPr>
                <w:rFonts w:eastAsia="Times New Roman" w:cs="Times New Roman"/>
                <w:color w:val="000000"/>
                <w:sz w:val="18"/>
                <w:szCs w:val="18"/>
              </w:rPr>
              <w:t xml:space="preserve">F </w:t>
            </w:r>
            <w:r w:rsidR="00065CF0">
              <w:rPr>
                <w:rFonts w:eastAsia="Times New Roman" w:cs="Times New Roman"/>
                <w:color w:val="000000"/>
                <w:sz w:val="18"/>
                <w:szCs w:val="18"/>
              </w:rPr>
              <w:t>S</w:t>
            </w:r>
            <w:r w:rsidRPr="00065CF0">
              <w:rPr>
                <w:rFonts w:eastAsia="Times New Roman" w:cs="Times New Roman"/>
                <w:color w:val="000000"/>
                <w:sz w:val="18"/>
                <w:szCs w:val="18"/>
              </w:rPr>
              <w:t>tatistic</w:t>
            </w:r>
          </w:p>
        </w:tc>
      </w:tr>
      <w:tr w:rsidR="00065CF0" w:rsidRPr="00065CF0" w14:paraId="46D73C71" w14:textId="77777777" w:rsidTr="00065CF0">
        <w:trPr>
          <w:trHeight w:val="300"/>
        </w:trPr>
        <w:tc>
          <w:tcPr>
            <w:tcW w:w="723" w:type="pct"/>
            <w:gridSpan w:val="2"/>
            <w:tcBorders>
              <w:top w:val="single" w:sz="4" w:space="0" w:color="auto"/>
              <w:bottom w:val="single" w:sz="4" w:space="0" w:color="auto"/>
            </w:tcBorders>
            <w:shd w:val="clear" w:color="auto" w:fill="auto"/>
            <w:noWrap/>
            <w:vAlign w:val="bottom"/>
            <w:hideMark/>
          </w:tcPr>
          <w:p w14:paraId="7922E182" w14:textId="2229115F" w:rsidR="00DD7712" w:rsidRPr="00065CF0" w:rsidRDefault="00DD7712" w:rsidP="009E6088">
            <w:pPr>
              <w:spacing w:after="0" w:line="240" w:lineRule="auto"/>
              <w:jc w:val="both"/>
              <w:rPr>
                <w:rFonts w:eastAsia="Times New Roman" w:cs="Times New Roman"/>
                <w:color w:val="000000"/>
                <w:sz w:val="18"/>
                <w:szCs w:val="18"/>
              </w:rPr>
            </w:pPr>
          </w:p>
        </w:tc>
        <w:tc>
          <w:tcPr>
            <w:tcW w:w="752" w:type="pct"/>
            <w:tcBorders>
              <w:top w:val="single" w:sz="4" w:space="0" w:color="auto"/>
              <w:bottom w:val="single" w:sz="4" w:space="0" w:color="auto"/>
            </w:tcBorders>
            <w:shd w:val="clear" w:color="auto" w:fill="auto"/>
            <w:noWrap/>
            <w:vAlign w:val="bottom"/>
            <w:hideMark/>
          </w:tcPr>
          <w:p w14:paraId="4A322D90"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∆SPI</w:t>
            </w:r>
          </w:p>
        </w:tc>
        <w:tc>
          <w:tcPr>
            <w:tcW w:w="761" w:type="pct"/>
            <w:tcBorders>
              <w:top w:val="single" w:sz="4" w:space="0" w:color="auto"/>
              <w:bottom w:val="single" w:sz="4" w:space="0" w:color="auto"/>
            </w:tcBorders>
            <w:shd w:val="clear" w:color="auto" w:fill="auto"/>
            <w:noWrap/>
            <w:vAlign w:val="bottom"/>
            <w:hideMark/>
          </w:tcPr>
          <w:p w14:paraId="020AD88A"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∆PK</w:t>
            </w:r>
          </w:p>
        </w:tc>
        <w:tc>
          <w:tcPr>
            <w:tcW w:w="713" w:type="pct"/>
            <w:tcBorders>
              <w:top w:val="single" w:sz="4" w:space="0" w:color="auto"/>
              <w:bottom w:val="single" w:sz="4" w:space="0" w:color="auto"/>
            </w:tcBorders>
            <w:shd w:val="clear" w:color="auto" w:fill="auto"/>
            <w:noWrap/>
            <w:vAlign w:val="bottom"/>
            <w:hideMark/>
          </w:tcPr>
          <w:p w14:paraId="7521D6D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∆IND</w:t>
            </w:r>
          </w:p>
        </w:tc>
        <w:tc>
          <w:tcPr>
            <w:tcW w:w="713" w:type="pct"/>
            <w:tcBorders>
              <w:top w:val="single" w:sz="4" w:space="0" w:color="auto"/>
              <w:bottom w:val="single" w:sz="4" w:space="0" w:color="auto"/>
            </w:tcBorders>
            <w:shd w:val="clear" w:color="auto" w:fill="auto"/>
            <w:noWrap/>
            <w:vAlign w:val="bottom"/>
            <w:hideMark/>
          </w:tcPr>
          <w:p w14:paraId="2E3BAC22"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∆CN</w:t>
            </w:r>
          </w:p>
        </w:tc>
        <w:tc>
          <w:tcPr>
            <w:tcW w:w="1338" w:type="pct"/>
            <w:gridSpan w:val="2"/>
            <w:tcBorders>
              <w:top w:val="single" w:sz="4" w:space="0" w:color="auto"/>
              <w:bottom w:val="single" w:sz="4" w:space="0" w:color="auto"/>
            </w:tcBorders>
            <w:shd w:val="clear" w:color="auto" w:fill="auto"/>
            <w:noWrap/>
            <w:vAlign w:val="bottom"/>
            <w:hideMark/>
          </w:tcPr>
          <w:p w14:paraId="42475D68"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t - statistic, ECT(-1)</w:t>
            </w:r>
          </w:p>
        </w:tc>
      </w:tr>
      <w:tr w:rsidR="00065CF0" w:rsidRPr="00065CF0" w14:paraId="23DE890C" w14:textId="77777777" w:rsidTr="00065CF0">
        <w:trPr>
          <w:trHeight w:val="300"/>
        </w:trPr>
        <w:tc>
          <w:tcPr>
            <w:tcW w:w="5000" w:type="pct"/>
            <w:gridSpan w:val="8"/>
            <w:tcBorders>
              <w:top w:val="single" w:sz="4" w:space="0" w:color="auto"/>
              <w:bottom w:val="single" w:sz="4" w:space="0" w:color="auto"/>
            </w:tcBorders>
            <w:shd w:val="clear" w:color="auto" w:fill="auto"/>
            <w:vAlign w:val="center"/>
            <w:hideMark/>
          </w:tcPr>
          <w:p w14:paraId="2B457D24" w14:textId="77777777" w:rsidR="00065CF0" w:rsidRPr="00065CF0" w:rsidRDefault="00065CF0" w:rsidP="009E6088">
            <w:pPr>
              <w:spacing w:after="0" w:line="240" w:lineRule="auto"/>
              <w:jc w:val="center"/>
              <w:rPr>
                <w:rFonts w:eastAsia="Times New Roman" w:cs="Times New Roman"/>
                <w:color w:val="000000"/>
                <w:sz w:val="18"/>
                <w:szCs w:val="18"/>
              </w:rPr>
            </w:pPr>
            <w:r w:rsidRPr="00065CF0">
              <w:rPr>
                <w:rFonts w:eastAsia="Times New Roman" w:cs="Times New Roman"/>
                <w:color w:val="000000"/>
                <w:sz w:val="18"/>
                <w:szCs w:val="18"/>
              </w:rPr>
              <w:t>SPI = UK</w:t>
            </w:r>
          </w:p>
        </w:tc>
      </w:tr>
      <w:tr w:rsidR="00F26101" w:rsidRPr="00065CF0" w14:paraId="2A25D205" w14:textId="77777777" w:rsidTr="00065CF0">
        <w:trPr>
          <w:trHeight w:val="300"/>
        </w:trPr>
        <w:tc>
          <w:tcPr>
            <w:tcW w:w="515" w:type="pct"/>
            <w:tcBorders>
              <w:top w:val="single" w:sz="4" w:space="0" w:color="auto"/>
            </w:tcBorders>
            <w:shd w:val="clear" w:color="auto" w:fill="auto"/>
            <w:noWrap/>
            <w:vAlign w:val="bottom"/>
            <w:hideMark/>
          </w:tcPr>
          <w:p w14:paraId="2B3C6954"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∆SPI</w:t>
            </w:r>
          </w:p>
        </w:tc>
        <w:tc>
          <w:tcPr>
            <w:tcW w:w="208" w:type="pct"/>
            <w:vMerge w:val="restart"/>
            <w:tcBorders>
              <w:top w:val="single" w:sz="4" w:space="0" w:color="auto"/>
            </w:tcBorders>
            <w:shd w:val="clear" w:color="auto" w:fill="auto"/>
            <w:noWrap/>
            <w:vAlign w:val="bottom"/>
            <w:hideMark/>
          </w:tcPr>
          <w:p w14:paraId="47A1786F" w14:textId="44CD8C05" w:rsidR="00DD7712" w:rsidRPr="00065CF0" w:rsidRDefault="00DD7712" w:rsidP="009E6088">
            <w:pPr>
              <w:spacing w:after="0" w:line="240" w:lineRule="auto"/>
              <w:jc w:val="both"/>
              <w:rPr>
                <w:rFonts w:eastAsia="Times New Roman" w:cs="Times New Roman"/>
                <w:color w:val="000000"/>
                <w:sz w:val="18"/>
                <w:szCs w:val="18"/>
              </w:rPr>
            </w:pPr>
          </w:p>
        </w:tc>
        <w:tc>
          <w:tcPr>
            <w:tcW w:w="752" w:type="pct"/>
            <w:tcBorders>
              <w:top w:val="single" w:sz="4" w:space="0" w:color="auto"/>
            </w:tcBorders>
            <w:shd w:val="clear" w:color="auto" w:fill="auto"/>
            <w:noWrap/>
            <w:vAlign w:val="bottom"/>
            <w:hideMark/>
          </w:tcPr>
          <w:p w14:paraId="189607A7"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61" w:type="pct"/>
            <w:tcBorders>
              <w:top w:val="single" w:sz="4" w:space="0" w:color="auto"/>
            </w:tcBorders>
            <w:shd w:val="clear" w:color="auto" w:fill="auto"/>
            <w:noWrap/>
            <w:vAlign w:val="bottom"/>
            <w:hideMark/>
          </w:tcPr>
          <w:p w14:paraId="4EB05687"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0.109002</w:t>
            </w:r>
          </w:p>
        </w:tc>
        <w:tc>
          <w:tcPr>
            <w:tcW w:w="713" w:type="pct"/>
            <w:tcBorders>
              <w:top w:val="single" w:sz="4" w:space="0" w:color="auto"/>
            </w:tcBorders>
            <w:shd w:val="clear" w:color="auto" w:fill="auto"/>
            <w:noWrap/>
            <w:vAlign w:val="bottom"/>
            <w:hideMark/>
          </w:tcPr>
          <w:p w14:paraId="5DF4501C"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1.451157</w:t>
            </w:r>
          </w:p>
        </w:tc>
        <w:tc>
          <w:tcPr>
            <w:tcW w:w="713" w:type="pct"/>
            <w:tcBorders>
              <w:top w:val="single" w:sz="4" w:space="0" w:color="auto"/>
            </w:tcBorders>
            <w:shd w:val="clear" w:color="auto" w:fill="auto"/>
            <w:noWrap/>
            <w:vAlign w:val="bottom"/>
            <w:hideMark/>
          </w:tcPr>
          <w:p w14:paraId="00B21E90"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1.343961</w:t>
            </w:r>
          </w:p>
        </w:tc>
        <w:tc>
          <w:tcPr>
            <w:tcW w:w="209" w:type="pct"/>
            <w:tcBorders>
              <w:top w:val="single" w:sz="4" w:space="0" w:color="auto"/>
            </w:tcBorders>
            <w:shd w:val="clear" w:color="auto" w:fill="auto"/>
            <w:noWrap/>
            <w:vAlign w:val="bottom"/>
            <w:hideMark/>
          </w:tcPr>
          <w:p w14:paraId="4C4B2C5D"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tcBorders>
              <w:top w:val="single" w:sz="4" w:space="0" w:color="auto"/>
            </w:tcBorders>
            <w:shd w:val="clear" w:color="auto" w:fill="auto"/>
            <w:noWrap/>
            <w:vAlign w:val="bottom"/>
            <w:hideMark/>
          </w:tcPr>
          <w:p w14:paraId="7AF1D282"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-2.48233</w:t>
            </w:r>
            <w:r w:rsidRPr="00065CF0">
              <w:rPr>
                <w:rFonts w:eastAsia="Times New Roman" w:cs="Times New Roman"/>
                <w:color w:val="000000"/>
                <w:sz w:val="18"/>
                <w:szCs w:val="18"/>
                <w:vertAlign w:val="superscript"/>
              </w:rPr>
              <w:t>a</w:t>
            </w:r>
          </w:p>
        </w:tc>
      </w:tr>
      <w:tr w:rsidR="00F26101" w:rsidRPr="00065CF0" w14:paraId="5C9E210D" w14:textId="77777777" w:rsidTr="00065CF0">
        <w:trPr>
          <w:trHeight w:val="300"/>
        </w:trPr>
        <w:tc>
          <w:tcPr>
            <w:tcW w:w="515" w:type="pct"/>
            <w:shd w:val="clear" w:color="auto" w:fill="auto"/>
            <w:noWrap/>
            <w:vAlign w:val="bottom"/>
            <w:hideMark/>
          </w:tcPr>
          <w:p w14:paraId="07F6C8FC"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∆PK</w:t>
            </w:r>
          </w:p>
        </w:tc>
        <w:tc>
          <w:tcPr>
            <w:tcW w:w="208" w:type="pct"/>
            <w:vMerge/>
            <w:vAlign w:val="center"/>
            <w:hideMark/>
          </w:tcPr>
          <w:p w14:paraId="218923BF"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252D12B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0.939687</w:t>
            </w:r>
          </w:p>
        </w:tc>
        <w:tc>
          <w:tcPr>
            <w:tcW w:w="761" w:type="pct"/>
            <w:shd w:val="clear" w:color="auto" w:fill="auto"/>
            <w:noWrap/>
            <w:vAlign w:val="bottom"/>
            <w:hideMark/>
          </w:tcPr>
          <w:p w14:paraId="4D3365B2"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13" w:type="pct"/>
            <w:shd w:val="clear" w:color="auto" w:fill="auto"/>
            <w:noWrap/>
            <w:vAlign w:val="bottom"/>
            <w:hideMark/>
          </w:tcPr>
          <w:p w14:paraId="47D1437E"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0.752175</w:t>
            </w:r>
          </w:p>
        </w:tc>
        <w:tc>
          <w:tcPr>
            <w:tcW w:w="713" w:type="pct"/>
            <w:shd w:val="clear" w:color="auto" w:fill="auto"/>
            <w:noWrap/>
            <w:vAlign w:val="bottom"/>
            <w:hideMark/>
          </w:tcPr>
          <w:p w14:paraId="42170CD8"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0.667111</w:t>
            </w:r>
          </w:p>
        </w:tc>
        <w:tc>
          <w:tcPr>
            <w:tcW w:w="209" w:type="pct"/>
            <w:shd w:val="clear" w:color="auto" w:fill="auto"/>
            <w:noWrap/>
            <w:vAlign w:val="bottom"/>
            <w:hideMark/>
          </w:tcPr>
          <w:p w14:paraId="09548CA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0BA53991"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-1.93553</w:t>
            </w:r>
          </w:p>
        </w:tc>
      </w:tr>
      <w:tr w:rsidR="00F26101" w:rsidRPr="00065CF0" w14:paraId="6F174968" w14:textId="77777777" w:rsidTr="00065CF0">
        <w:trPr>
          <w:trHeight w:val="300"/>
        </w:trPr>
        <w:tc>
          <w:tcPr>
            <w:tcW w:w="515" w:type="pct"/>
            <w:shd w:val="clear" w:color="auto" w:fill="auto"/>
            <w:noWrap/>
            <w:vAlign w:val="bottom"/>
            <w:hideMark/>
          </w:tcPr>
          <w:p w14:paraId="3966E476"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∆IND</w:t>
            </w:r>
          </w:p>
        </w:tc>
        <w:tc>
          <w:tcPr>
            <w:tcW w:w="208" w:type="pct"/>
            <w:vMerge/>
            <w:vAlign w:val="center"/>
            <w:hideMark/>
          </w:tcPr>
          <w:p w14:paraId="3B575C8F"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21869DB0"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11.96001</w:t>
            </w:r>
            <w:r w:rsidRPr="00065CF0">
              <w:rPr>
                <w:rFonts w:eastAsia="Times New Roman" w:cs="Times New Roman"/>
                <w:color w:val="000000"/>
                <w:sz w:val="18"/>
                <w:szCs w:val="18"/>
                <w:vertAlign w:val="superscript"/>
              </w:rPr>
              <w:t>a</w:t>
            </w:r>
          </w:p>
        </w:tc>
        <w:tc>
          <w:tcPr>
            <w:tcW w:w="761" w:type="pct"/>
            <w:shd w:val="clear" w:color="auto" w:fill="auto"/>
            <w:noWrap/>
            <w:vAlign w:val="bottom"/>
            <w:hideMark/>
          </w:tcPr>
          <w:p w14:paraId="445C243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0.001586</w:t>
            </w:r>
          </w:p>
        </w:tc>
        <w:tc>
          <w:tcPr>
            <w:tcW w:w="713" w:type="pct"/>
            <w:shd w:val="clear" w:color="auto" w:fill="auto"/>
            <w:noWrap/>
            <w:vAlign w:val="bottom"/>
            <w:hideMark/>
          </w:tcPr>
          <w:p w14:paraId="1DE5D2B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13" w:type="pct"/>
            <w:shd w:val="clear" w:color="auto" w:fill="auto"/>
            <w:noWrap/>
            <w:vAlign w:val="bottom"/>
            <w:hideMark/>
          </w:tcPr>
          <w:p w14:paraId="14D222B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0.525371</w:t>
            </w:r>
          </w:p>
        </w:tc>
        <w:tc>
          <w:tcPr>
            <w:tcW w:w="209" w:type="pct"/>
            <w:shd w:val="clear" w:color="auto" w:fill="auto"/>
            <w:noWrap/>
            <w:vAlign w:val="bottom"/>
            <w:hideMark/>
          </w:tcPr>
          <w:p w14:paraId="5C8B2EC2"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628DA59C"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1.249084</w:t>
            </w:r>
          </w:p>
        </w:tc>
      </w:tr>
      <w:tr w:rsidR="00F26101" w:rsidRPr="00065CF0" w14:paraId="03DD7A69" w14:textId="77777777" w:rsidTr="00065CF0">
        <w:trPr>
          <w:trHeight w:val="300"/>
        </w:trPr>
        <w:tc>
          <w:tcPr>
            <w:tcW w:w="515" w:type="pct"/>
            <w:shd w:val="clear" w:color="auto" w:fill="auto"/>
            <w:noWrap/>
            <w:vAlign w:val="bottom"/>
            <w:hideMark/>
          </w:tcPr>
          <w:p w14:paraId="6B67FEA9"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∆CN</w:t>
            </w:r>
          </w:p>
        </w:tc>
        <w:tc>
          <w:tcPr>
            <w:tcW w:w="208" w:type="pct"/>
            <w:vMerge/>
            <w:vAlign w:val="center"/>
            <w:hideMark/>
          </w:tcPr>
          <w:p w14:paraId="0FA1782F"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408C4E02"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11.70982</w:t>
            </w:r>
            <w:r w:rsidRPr="00065CF0">
              <w:rPr>
                <w:rFonts w:eastAsia="Times New Roman" w:cs="Times New Roman"/>
                <w:color w:val="000000"/>
                <w:sz w:val="18"/>
                <w:szCs w:val="18"/>
                <w:vertAlign w:val="superscript"/>
              </w:rPr>
              <w:t>a</w:t>
            </w:r>
          </w:p>
        </w:tc>
        <w:tc>
          <w:tcPr>
            <w:tcW w:w="761" w:type="pct"/>
            <w:shd w:val="clear" w:color="auto" w:fill="auto"/>
            <w:noWrap/>
            <w:vAlign w:val="bottom"/>
            <w:hideMark/>
          </w:tcPr>
          <w:p w14:paraId="61997FA3"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0.094387</w:t>
            </w:r>
          </w:p>
        </w:tc>
        <w:tc>
          <w:tcPr>
            <w:tcW w:w="713" w:type="pct"/>
            <w:shd w:val="clear" w:color="auto" w:fill="auto"/>
            <w:noWrap/>
            <w:vAlign w:val="bottom"/>
            <w:hideMark/>
          </w:tcPr>
          <w:p w14:paraId="58C2730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1.467547</w:t>
            </w:r>
          </w:p>
        </w:tc>
        <w:tc>
          <w:tcPr>
            <w:tcW w:w="713" w:type="pct"/>
            <w:shd w:val="clear" w:color="auto" w:fill="auto"/>
            <w:noWrap/>
            <w:vAlign w:val="bottom"/>
            <w:hideMark/>
          </w:tcPr>
          <w:p w14:paraId="36C45D3D"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209" w:type="pct"/>
            <w:shd w:val="clear" w:color="auto" w:fill="auto"/>
            <w:noWrap/>
            <w:vAlign w:val="bottom"/>
            <w:hideMark/>
          </w:tcPr>
          <w:p w14:paraId="2639CABF"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1223D63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-2.38691</w:t>
            </w:r>
          </w:p>
        </w:tc>
      </w:tr>
      <w:tr w:rsidR="00DD7712" w:rsidRPr="00065CF0" w14:paraId="4634FEF8" w14:textId="77777777" w:rsidTr="00065CF0">
        <w:trPr>
          <w:trHeight w:val="300"/>
        </w:trPr>
        <w:tc>
          <w:tcPr>
            <w:tcW w:w="5000" w:type="pct"/>
            <w:gridSpan w:val="8"/>
            <w:tcBorders>
              <w:top w:val="single" w:sz="4" w:space="0" w:color="auto"/>
              <w:bottom w:val="single" w:sz="4" w:space="0" w:color="auto"/>
            </w:tcBorders>
            <w:shd w:val="clear" w:color="auto" w:fill="auto"/>
            <w:noWrap/>
            <w:vAlign w:val="center"/>
            <w:hideMark/>
          </w:tcPr>
          <w:p w14:paraId="14F64154" w14:textId="2AB26E1C" w:rsidR="00DD7712" w:rsidRPr="00065CF0" w:rsidRDefault="00DD7712" w:rsidP="009E6088">
            <w:pPr>
              <w:spacing w:after="0" w:line="240" w:lineRule="auto"/>
              <w:jc w:val="center"/>
              <w:rPr>
                <w:rFonts w:eastAsia="Times New Roman" w:cs="Times New Roman"/>
                <w:color w:val="000000"/>
                <w:sz w:val="18"/>
                <w:szCs w:val="18"/>
              </w:rPr>
            </w:pPr>
            <w:r w:rsidRPr="00065CF0">
              <w:rPr>
                <w:rFonts w:eastAsia="Times New Roman" w:cs="Times New Roman"/>
                <w:color w:val="000000"/>
                <w:sz w:val="18"/>
                <w:szCs w:val="18"/>
              </w:rPr>
              <w:t xml:space="preserve">F </w:t>
            </w:r>
            <w:r w:rsidR="00065CF0">
              <w:rPr>
                <w:rFonts w:eastAsia="Times New Roman" w:cs="Times New Roman"/>
                <w:color w:val="000000"/>
                <w:sz w:val="18"/>
                <w:szCs w:val="18"/>
              </w:rPr>
              <w:t>S</w:t>
            </w:r>
            <w:r w:rsidRPr="00065CF0">
              <w:rPr>
                <w:rFonts w:eastAsia="Times New Roman" w:cs="Times New Roman"/>
                <w:color w:val="000000"/>
                <w:sz w:val="18"/>
                <w:szCs w:val="18"/>
              </w:rPr>
              <w:t>tatistic</w:t>
            </w:r>
          </w:p>
        </w:tc>
      </w:tr>
      <w:tr w:rsidR="00065CF0" w:rsidRPr="00065CF0" w14:paraId="76C88100" w14:textId="77777777" w:rsidTr="00065CF0">
        <w:trPr>
          <w:trHeight w:val="300"/>
        </w:trPr>
        <w:tc>
          <w:tcPr>
            <w:tcW w:w="723" w:type="pct"/>
            <w:gridSpan w:val="2"/>
            <w:tcBorders>
              <w:top w:val="single" w:sz="4" w:space="0" w:color="auto"/>
              <w:bottom w:val="single" w:sz="4" w:space="0" w:color="auto"/>
            </w:tcBorders>
            <w:shd w:val="clear" w:color="auto" w:fill="auto"/>
            <w:noWrap/>
            <w:vAlign w:val="bottom"/>
            <w:hideMark/>
          </w:tcPr>
          <w:p w14:paraId="7A26468F" w14:textId="1A36F7AC" w:rsidR="00DD7712" w:rsidRPr="00065CF0" w:rsidRDefault="00DD7712" w:rsidP="009E6088">
            <w:pPr>
              <w:spacing w:after="0" w:line="240" w:lineRule="auto"/>
              <w:jc w:val="both"/>
              <w:rPr>
                <w:rFonts w:eastAsia="Times New Roman" w:cs="Times New Roman"/>
                <w:color w:val="000000"/>
                <w:sz w:val="18"/>
                <w:szCs w:val="18"/>
              </w:rPr>
            </w:pPr>
          </w:p>
        </w:tc>
        <w:tc>
          <w:tcPr>
            <w:tcW w:w="752" w:type="pct"/>
            <w:tcBorders>
              <w:top w:val="single" w:sz="4" w:space="0" w:color="auto"/>
              <w:bottom w:val="single" w:sz="4" w:space="0" w:color="auto"/>
            </w:tcBorders>
            <w:shd w:val="clear" w:color="auto" w:fill="auto"/>
            <w:noWrap/>
            <w:vAlign w:val="bottom"/>
            <w:hideMark/>
          </w:tcPr>
          <w:p w14:paraId="296DCD51"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∆SPI</w:t>
            </w:r>
          </w:p>
        </w:tc>
        <w:tc>
          <w:tcPr>
            <w:tcW w:w="761" w:type="pct"/>
            <w:tcBorders>
              <w:top w:val="single" w:sz="4" w:space="0" w:color="auto"/>
              <w:bottom w:val="single" w:sz="4" w:space="0" w:color="auto"/>
            </w:tcBorders>
            <w:shd w:val="clear" w:color="auto" w:fill="auto"/>
            <w:noWrap/>
            <w:vAlign w:val="bottom"/>
            <w:hideMark/>
          </w:tcPr>
          <w:p w14:paraId="746A6F8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∆PK</w:t>
            </w:r>
          </w:p>
        </w:tc>
        <w:tc>
          <w:tcPr>
            <w:tcW w:w="713" w:type="pct"/>
            <w:tcBorders>
              <w:top w:val="single" w:sz="4" w:space="0" w:color="auto"/>
              <w:bottom w:val="single" w:sz="4" w:space="0" w:color="auto"/>
            </w:tcBorders>
            <w:shd w:val="clear" w:color="auto" w:fill="auto"/>
            <w:noWrap/>
            <w:vAlign w:val="bottom"/>
            <w:hideMark/>
          </w:tcPr>
          <w:p w14:paraId="32452C04"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∆IND</w:t>
            </w:r>
          </w:p>
        </w:tc>
        <w:tc>
          <w:tcPr>
            <w:tcW w:w="713" w:type="pct"/>
            <w:tcBorders>
              <w:top w:val="single" w:sz="4" w:space="0" w:color="auto"/>
              <w:bottom w:val="single" w:sz="4" w:space="0" w:color="auto"/>
            </w:tcBorders>
            <w:shd w:val="clear" w:color="auto" w:fill="auto"/>
            <w:noWrap/>
            <w:vAlign w:val="bottom"/>
            <w:hideMark/>
          </w:tcPr>
          <w:p w14:paraId="22B6621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∆CN</w:t>
            </w:r>
          </w:p>
        </w:tc>
        <w:tc>
          <w:tcPr>
            <w:tcW w:w="1338" w:type="pct"/>
            <w:gridSpan w:val="2"/>
            <w:tcBorders>
              <w:top w:val="single" w:sz="4" w:space="0" w:color="auto"/>
              <w:bottom w:val="single" w:sz="4" w:space="0" w:color="auto"/>
            </w:tcBorders>
            <w:shd w:val="clear" w:color="auto" w:fill="auto"/>
            <w:noWrap/>
            <w:vAlign w:val="bottom"/>
            <w:hideMark/>
          </w:tcPr>
          <w:p w14:paraId="49DE78AE"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t - statistic, ECT(-1)</w:t>
            </w:r>
          </w:p>
        </w:tc>
      </w:tr>
      <w:tr w:rsidR="00065CF0" w:rsidRPr="00065CF0" w14:paraId="63A811E7" w14:textId="77777777" w:rsidTr="00065CF0">
        <w:trPr>
          <w:trHeight w:val="300"/>
        </w:trPr>
        <w:tc>
          <w:tcPr>
            <w:tcW w:w="5000" w:type="pct"/>
            <w:gridSpan w:val="8"/>
            <w:tcBorders>
              <w:top w:val="single" w:sz="4" w:space="0" w:color="auto"/>
              <w:bottom w:val="single" w:sz="4" w:space="0" w:color="auto"/>
            </w:tcBorders>
            <w:shd w:val="clear" w:color="auto" w:fill="auto"/>
            <w:vAlign w:val="center"/>
            <w:hideMark/>
          </w:tcPr>
          <w:p w14:paraId="665846FC" w14:textId="77777777" w:rsidR="00065CF0" w:rsidRPr="00065CF0" w:rsidRDefault="00065CF0" w:rsidP="009E6088">
            <w:pPr>
              <w:spacing w:after="0" w:line="240" w:lineRule="auto"/>
              <w:jc w:val="center"/>
              <w:rPr>
                <w:rFonts w:eastAsia="Times New Roman" w:cs="Times New Roman"/>
                <w:color w:val="000000"/>
                <w:sz w:val="18"/>
                <w:szCs w:val="18"/>
              </w:rPr>
            </w:pPr>
            <w:r w:rsidRPr="00065CF0">
              <w:rPr>
                <w:rFonts w:eastAsia="Times New Roman" w:cs="Times New Roman"/>
                <w:color w:val="000000"/>
                <w:sz w:val="18"/>
                <w:szCs w:val="18"/>
              </w:rPr>
              <w:t>SPI = GER</w:t>
            </w:r>
          </w:p>
        </w:tc>
      </w:tr>
      <w:tr w:rsidR="00F26101" w:rsidRPr="00065CF0" w14:paraId="60222986" w14:textId="77777777" w:rsidTr="00065CF0">
        <w:trPr>
          <w:trHeight w:val="300"/>
        </w:trPr>
        <w:tc>
          <w:tcPr>
            <w:tcW w:w="515" w:type="pct"/>
            <w:tcBorders>
              <w:top w:val="single" w:sz="4" w:space="0" w:color="auto"/>
            </w:tcBorders>
            <w:shd w:val="clear" w:color="auto" w:fill="auto"/>
            <w:noWrap/>
            <w:vAlign w:val="bottom"/>
            <w:hideMark/>
          </w:tcPr>
          <w:p w14:paraId="41C3BB63"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∆SPI</w:t>
            </w:r>
          </w:p>
        </w:tc>
        <w:tc>
          <w:tcPr>
            <w:tcW w:w="208" w:type="pct"/>
            <w:vMerge w:val="restart"/>
            <w:tcBorders>
              <w:top w:val="single" w:sz="4" w:space="0" w:color="auto"/>
            </w:tcBorders>
            <w:shd w:val="clear" w:color="auto" w:fill="auto"/>
            <w:noWrap/>
            <w:vAlign w:val="bottom"/>
            <w:hideMark/>
          </w:tcPr>
          <w:p w14:paraId="0CF89118" w14:textId="5944F08F" w:rsidR="00DD7712" w:rsidRPr="00065CF0" w:rsidRDefault="00DD7712" w:rsidP="009E6088">
            <w:pPr>
              <w:spacing w:after="0" w:line="240" w:lineRule="auto"/>
              <w:jc w:val="both"/>
              <w:rPr>
                <w:rFonts w:eastAsia="Times New Roman" w:cs="Times New Roman"/>
                <w:color w:val="000000"/>
                <w:sz w:val="18"/>
                <w:szCs w:val="18"/>
              </w:rPr>
            </w:pPr>
          </w:p>
        </w:tc>
        <w:tc>
          <w:tcPr>
            <w:tcW w:w="752" w:type="pct"/>
            <w:tcBorders>
              <w:top w:val="single" w:sz="4" w:space="0" w:color="auto"/>
            </w:tcBorders>
            <w:shd w:val="clear" w:color="auto" w:fill="auto"/>
            <w:noWrap/>
            <w:vAlign w:val="bottom"/>
            <w:hideMark/>
          </w:tcPr>
          <w:p w14:paraId="36E30E2D"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61" w:type="pct"/>
            <w:tcBorders>
              <w:top w:val="single" w:sz="4" w:space="0" w:color="auto"/>
            </w:tcBorders>
            <w:shd w:val="clear" w:color="auto" w:fill="auto"/>
            <w:noWrap/>
            <w:vAlign w:val="bottom"/>
            <w:hideMark/>
          </w:tcPr>
          <w:p w14:paraId="3FA3A0A0"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0.306296</w:t>
            </w:r>
          </w:p>
        </w:tc>
        <w:tc>
          <w:tcPr>
            <w:tcW w:w="713" w:type="pct"/>
            <w:tcBorders>
              <w:top w:val="single" w:sz="4" w:space="0" w:color="auto"/>
            </w:tcBorders>
            <w:shd w:val="clear" w:color="auto" w:fill="auto"/>
            <w:noWrap/>
            <w:vAlign w:val="bottom"/>
            <w:hideMark/>
          </w:tcPr>
          <w:p w14:paraId="0355F08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0.089827</w:t>
            </w:r>
          </w:p>
        </w:tc>
        <w:tc>
          <w:tcPr>
            <w:tcW w:w="713" w:type="pct"/>
            <w:tcBorders>
              <w:top w:val="single" w:sz="4" w:space="0" w:color="auto"/>
            </w:tcBorders>
            <w:shd w:val="clear" w:color="auto" w:fill="auto"/>
            <w:noWrap/>
            <w:vAlign w:val="bottom"/>
            <w:hideMark/>
          </w:tcPr>
          <w:p w14:paraId="12F8E25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0.478748</w:t>
            </w:r>
          </w:p>
        </w:tc>
        <w:tc>
          <w:tcPr>
            <w:tcW w:w="209" w:type="pct"/>
            <w:tcBorders>
              <w:top w:val="single" w:sz="4" w:space="0" w:color="auto"/>
            </w:tcBorders>
            <w:shd w:val="clear" w:color="auto" w:fill="auto"/>
            <w:noWrap/>
            <w:vAlign w:val="bottom"/>
            <w:hideMark/>
          </w:tcPr>
          <w:p w14:paraId="71106DD6"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tcBorders>
              <w:top w:val="single" w:sz="4" w:space="0" w:color="auto"/>
            </w:tcBorders>
            <w:shd w:val="clear" w:color="auto" w:fill="auto"/>
            <w:noWrap/>
            <w:vAlign w:val="bottom"/>
            <w:hideMark/>
          </w:tcPr>
          <w:p w14:paraId="1E528E19"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-4.99105</w:t>
            </w:r>
            <w:r w:rsidRPr="00065CF0">
              <w:rPr>
                <w:rFonts w:eastAsia="Times New Roman" w:cs="Times New Roman"/>
                <w:color w:val="000000"/>
                <w:sz w:val="18"/>
                <w:szCs w:val="18"/>
                <w:vertAlign w:val="superscript"/>
              </w:rPr>
              <w:t>a</w:t>
            </w:r>
          </w:p>
        </w:tc>
      </w:tr>
      <w:tr w:rsidR="00F26101" w:rsidRPr="00065CF0" w14:paraId="0ADCE621" w14:textId="77777777" w:rsidTr="00065CF0">
        <w:trPr>
          <w:trHeight w:val="300"/>
        </w:trPr>
        <w:tc>
          <w:tcPr>
            <w:tcW w:w="515" w:type="pct"/>
            <w:shd w:val="clear" w:color="auto" w:fill="auto"/>
            <w:noWrap/>
            <w:vAlign w:val="bottom"/>
            <w:hideMark/>
          </w:tcPr>
          <w:p w14:paraId="199FEEB8"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∆PK</w:t>
            </w:r>
          </w:p>
        </w:tc>
        <w:tc>
          <w:tcPr>
            <w:tcW w:w="208" w:type="pct"/>
            <w:vMerge/>
            <w:vAlign w:val="center"/>
            <w:hideMark/>
          </w:tcPr>
          <w:p w14:paraId="2795D80B"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3A8DF79C"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3.00838</w:t>
            </w:r>
            <w:r w:rsidRPr="00065CF0">
              <w:rPr>
                <w:rFonts w:eastAsia="Times New Roman" w:cs="Times New Roman"/>
                <w:color w:val="000000"/>
                <w:sz w:val="18"/>
                <w:szCs w:val="18"/>
                <w:vertAlign w:val="superscript"/>
              </w:rPr>
              <w:t>a</w:t>
            </w:r>
          </w:p>
        </w:tc>
        <w:tc>
          <w:tcPr>
            <w:tcW w:w="761" w:type="pct"/>
            <w:shd w:val="clear" w:color="auto" w:fill="auto"/>
            <w:noWrap/>
            <w:vAlign w:val="bottom"/>
            <w:hideMark/>
          </w:tcPr>
          <w:p w14:paraId="7360FECD"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13" w:type="pct"/>
            <w:shd w:val="clear" w:color="auto" w:fill="auto"/>
            <w:noWrap/>
            <w:vAlign w:val="bottom"/>
            <w:hideMark/>
          </w:tcPr>
          <w:p w14:paraId="6B1BE439"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0.17014</w:t>
            </w:r>
          </w:p>
        </w:tc>
        <w:tc>
          <w:tcPr>
            <w:tcW w:w="713" w:type="pct"/>
            <w:shd w:val="clear" w:color="auto" w:fill="auto"/>
            <w:noWrap/>
            <w:vAlign w:val="bottom"/>
            <w:hideMark/>
          </w:tcPr>
          <w:p w14:paraId="280F5253"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0.518316</w:t>
            </w:r>
          </w:p>
        </w:tc>
        <w:tc>
          <w:tcPr>
            <w:tcW w:w="209" w:type="pct"/>
            <w:shd w:val="clear" w:color="auto" w:fill="auto"/>
            <w:noWrap/>
            <w:vAlign w:val="bottom"/>
            <w:hideMark/>
          </w:tcPr>
          <w:p w14:paraId="6ED5F81E"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219C790F"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-0.31487</w:t>
            </w:r>
          </w:p>
        </w:tc>
      </w:tr>
      <w:tr w:rsidR="00F26101" w:rsidRPr="00065CF0" w14:paraId="7D9CC064" w14:textId="77777777" w:rsidTr="00065CF0">
        <w:trPr>
          <w:trHeight w:val="300"/>
        </w:trPr>
        <w:tc>
          <w:tcPr>
            <w:tcW w:w="515" w:type="pct"/>
            <w:shd w:val="clear" w:color="auto" w:fill="auto"/>
            <w:noWrap/>
            <w:vAlign w:val="bottom"/>
            <w:hideMark/>
          </w:tcPr>
          <w:p w14:paraId="577543DF"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∆IND</w:t>
            </w:r>
          </w:p>
        </w:tc>
        <w:tc>
          <w:tcPr>
            <w:tcW w:w="208" w:type="pct"/>
            <w:vMerge/>
            <w:vAlign w:val="center"/>
            <w:hideMark/>
          </w:tcPr>
          <w:p w14:paraId="48B9B194"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16DE665E"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2.83599</w:t>
            </w:r>
            <w:r w:rsidRPr="00065CF0">
              <w:rPr>
                <w:rFonts w:eastAsia="Times New Roman" w:cs="Times New Roman"/>
                <w:color w:val="000000"/>
                <w:sz w:val="18"/>
                <w:szCs w:val="18"/>
                <w:vertAlign w:val="superscript"/>
              </w:rPr>
              <w:t>a</w:t>
            </w:r>
          </w:p>
        </w:tc>
        <w:tc>
          <w:tcPr>
            <w:tcW w:w="761" w:type="pct"/>
            <w:shd w:val="clear" w:color="auto" w:fill="auto"/>
            <w:noWrap/>
            <w:vAlign w:val="bottom"/>
            <w:hideMark/>
          </w:tcPr>
          <w:p w14:paraId="6D09D154"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0.036644</w:t>
            </w:r>
          </w:p>
        </w:tc>
        <w:tc>
          <w:tcPr>
            <w:tcW w:w="713" w:type="pct"/>
            <w:shd w:val="clear" w:color="auto" w:fill="auto"/>
            <w:noWrap/>
            <w:vAlign w:val="bottom"/>
            <w:hideMark/>
          </w:tcPr>
          <w:p w14:paraId="2CB071A9"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13" w:type="pct"/>
            <w:shd w:val="clear" w:color="auto" w:fill="auto"/>
            <w:noWrap/>
            <w:vAlign w:val="bottom"/>
            <w:hideMark/>
          </w:tcPr>
          <w:p w14:paraId="08053AD6"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1.058938</w:t>
            </w:r>
          </w:p>
        </w:tc>
        <w:tc>
          <w:tcPr>
            <w:tcW w:w="209" w:type="pct"/>
            <w:shd w:val="clear" w:color="auto" w:fill="auto"/>
            <w:noWrap/>
            <w:vAlign w:val="bottom"/>
            <w:hideMark/>
          </w:tcPr>
          <w:p w14:paraId="4BAEE06F"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0EE4E11D"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-3.53708</w:t>
            </w:r>
            <w:r w:rsidRPr="00065CF0">
              <w:rPr>
                <w:rFonts w:eastAsia="Times New Roman" w:cs="Times New Roman"/>
                <w:color w:val="000000"/>
                <w:sz w:val="18"/>
                <w:szCs w:val="18"/>
                <w:vertAlign w:val="superscript"/>
              </w:rPr>
              <w:t>a</w:t>
            </w:r>
          </w:p>
        </w:tc>
      </w:tr>
      <w:tr w:rsidR="00F26101" w:rsidRPr="00065CF0" w14:paraId="440B3F08" w14:textId="77777777" w:rsidTr="00065CF0">
        <w:trPr>
          <w:trHeight w:val="300"/>
        </w:trPr>
        <w:tc>
          <w:tcPr>
            <w:tcW w:w="515" w:type="pct"/>
            <w:shd w:val="clear" w:color="auto" w:fill="auto"/>
            <w:noWrap/>
            <w:vAlign w:val="bottom"/>
            <w:hideMark/>
          </w:tcPr>
          <w:p w14:paraId="018DB8A3"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∆CN</w:t>
            </w:r>
          </w:p>
        </w:tc>
        <w:tc>
          <w:tcPr>
            <w:tcW w:w="208" w:type="pct"/>
            <w:vMerge/>
            <w:vAlign w:val="center"/>
            <w:hideMark/>
          </w:tcPr>
          <w:p w14:paraId="34F105E1"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1D7B5937"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7.576126</w:t>
            </w:r>
            <w:r w:rsidRPr="00065CF0">
              <w:rPr>
                <w:rFonts w:eastAsia="Times New Roman" w:cs="Times New Roman"/>
                <w:color w:val="000000"/>
                <w:sz w:val="18"/>
                <w:szCs w:val="18"/>
                <w:vertAlign w:val="superscript"/>
              </w:rPr>
              <w:t>a</w:t>
            </w:r>
          </w:p>
        </w:tc>
        <w:tc>
          <w:tcPr>
            <w:tcW w:w="761" w:type="pct"/>
            <w:shd w:val="clear" w:color="auto" w:fill="auto"/>
            <w:noWrap/>
            <w:vAlign w:val="bottom"/>
            <w:hideMark/>
          </w:tcPr>
          <w:p w14:paraId="201A551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0.26114</w:t>
            </w:r>
          </w:p>
        </w:tc>
        <w:tc>
          <w:tcPr>
            <w:tcW w:w="713" w:type="pct"/>
            <w:shd w:val="clear" w:color="auto" w:fill="auto"/>
            <w:noWrap/>
            <w:vAlign w:val="bottom"/>
            <w:hideMark/>
          </w:tcPr>
          <w:p w14:paraId="2D3FBEE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0.305323</w:t>
            </w:r>
          </w:p>
        </w:tc>
        <w:tc>
          <w:tcPr>
            <w:tcW w:w="713" w:type="pct"/>
            <w:shd w:val="clear" w:color="auto" w:fill="auto"/>
            <w:noWrap/>
            <w:vAlign w:val="bottom"/>
            <w:hideMark/>
          </w:tcPr>
          <w:p w14:paraId="018B1D5E"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209" w:type="pct"/>
            <w:shd w:val="clear" w:color="auto" w:fill="auto"/>
            <w:noWrap/>
            <w:vAlign w:val="bottom"/>
            <w:hideMark/>
          </w:tcPr>
          <w:p w14:paraId="50F24387"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79155FD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-0.46881</w:t>
            </w:r>
          </w:p>
        </w:tc>
      </w:tr>
      <w:tr w:rsidR="00DD7712" w:rsidRPr="00065CF0" w14:paraId="7FA74E16" w14:textId="77777777" w:rsidTr="00065CF0">
        <w:trPr>
          <w:trHeight w:val="300"/>
        </w:trPr>
        <w:tc>
          <w:tcPr>
            <w:tcW w:w="5000" w:type="pct"/>
            <w:gridSpan w:val="8"/>
            <w:tcBorders>
              <w:top w:val="single" w:sz="4" w:space="0" w:color="auto"/>
              <w:bottom w:val="single" w:sz="4" w:space="0" w:color="auto"/>
            </w:tcBorders>
            <w:shd w:val="clear" w:color="auto" w:fill="auto"/>
            <w:noWrap/>
            <w:vAlign w:val="center"/>
            <w:hideMark/>
          </w:tcPr>
          <w:p w14:paraId="372ACA7F" w14:textId="6BA853AE" w:rsidR="00DD7712" w:rsidRPr="00065CF0" w:rsidRDefault="00DD7712" w:rsidP="009E6088">
            <w:pPr>
              <w:spacing w:after="0" w:line="240" w:lineRule="auto"/>
              <w:jc w:val="center"/>
              <w:rPr>
                <w:rFonts w:eastAsia="Times New Roman" w:cs="Times New Roman"/>
                <w:color w:val="000000"/>
                <w:sz w:val="18"/>
                <w:szCs w:val="18"/>
              </w:rPr>
            </w:pPr>
            <w:r w:rsidRPr="00065CF0">
              <w:rPr>
                <w:rFonts w:eastAsia="Times New Roman" w:cs="Times New Roman"/>
                <w:color w:val="000000"/>
                <w:sz w:val="18"/>
                <w:szCs w:val="18"/>
              </w:rPr>
              <w:t>F</w:t>
            </w:r>
            <w:r w:rsidR="00065CF0">
              <w:rPr>
                <w:rFonts w:eastAsia="Times New Roman" w:cs="Times New Roman"/>
                <w:color w:val="000000"/>
                <w:sz w:val="18"/>
                <w:szCs w:val="18"/>
              </w:rPr>
              <w:t xml:space="preserve"> S</w:t>
            </w:r>
            <w:r w:rsidRPr="00065CF0">
              <w:rPr>
                <w:rFonts w:eastAsia="Times New Roman" w:cs="Times New Roman"/>
                <w:color w:val="000000"/>
                <w:sz w:val="18"/>
                <w:szCs w:val="18"/>
              </w:rPr>
              <w:t>tatistic</w:t>
            </w:r>
          </w:p>
        </w:tc>
      </w:tr>
      <w:tr w:rsidR="00065CF0" w:rsidRPr="00065CF0" w14:paraId="4396A433" w14:textId="77777777" w:rsidTr="00065CF0">
        <w:trPr>
          <w:trHeight w:val="300"/>
        </w:trPr>
        <w:tc>
          <w:tcPr>
            <w:tcW w:w="723" w:type="pct"/>
            <w:gridSpan w:val="2"/>
            <w:tcBorders>
              <w:top w:val="single" w:sz="4" w:space="0" w:color="auto"/>
              <w:bottom w:val="single" w:sz="4" w:space="0" w:color="auto"/>
            </w:tcBorders>
            <w:shd w:val="clear" w:color="auto" w:fill="auto"/>
            <w:noWrap/>
            <w:vAlign w:val="bottom"/>
            <w:hideMark/>
          </w:tcPr>
          <w:p w14:paraId="506BAE08" w14:textId="285ED70E" w:rsidR="00DD7712" w:rsidRPr="00065CF0" w:rsidRDefault="00DD7712" w:rsidP="009E6088">
            <w:pPr>
              <w:spacing w:after="0" w:line="240" w:lineRule="auto"/>
              <w:jc w:val="both"/>
              <w:rPr>
                <w:rFonts w:eastAsia="Times New Roman" w:cs="Times New Roman"/>
                <w:color w:val="000000"/>
                <w:sz w:val="18"/>
                <w:szCs w:val="18"/>
              </w:rPr>
            </w:pPr>
          </w:p>
        </w:tc>
        <w:tc>
          <w:tcPr>
            <w:tcW w:w="752" w:type="pct"/>
            <w:tcBorders>
              <w:top w:val="single" w:sz="4" w:space="0" w:color="auto"/>
              <w:bottom w:val="single" w:sz="4" w:space="0" w:color="auto"/>
            </w:tcBorders>
            <w:shd w:val="clear" w:color="auto" w:fill="auto"/>
            <w:noWrap/>
            <w:vAlign w:val="bottom"/>
            <w:hideMark/>
          </w:tcPr>
          <w:p w14:paraId="4E00557A"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∆SPI</w:t>
            </w:r>
          </w:p>
        </w:tc>
        <w:tc>
          <w:tcPr>
            <w:tcW w:w="761" w:type="pct"/>
            <w:tcBorders>
              <w:top w:val="single" w:sz="4" w:space="0" w:color="auto"/>
              <w:bottom w:val="single" w:sz="4" w:space="0" w:color="auto"/>
            </w:tcBorders>
            <w:shd w:val="clear" w:color="auto" w:fill="auto"/>
            <w:noWrap/>
            <w:vAlign w:val="bottom"/>
            <w:hideMark/>
          </w:tcPr>
          <w:p w14:paraId="7DDC0AB9"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∆PK</w:t>
            </w:r>
          </w:p>
        </w:tc>
        <w:tc>
          <w:tcPr>
            <w:tcW w:w="713" w:type="pct"/>
            <w:tcBorders>
              <w:top w:val="single" w:sz="4" w:space="0" w:color="auto"/>
              <w:bottom w:val="single" w:sz="4" w:space="0" w:color="auto"/>
            </w:tcBorders>
            <w:shd w:val="clear" w:color="auto" w:fill="auto"/>
            <w:noWrap/>
            <w:vAlign w:val="bottom"/>
            <w:hideMark/>
          </w:tcPr>
          <w:p w14:paraId="7D946080"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∆IND</w:t>
            </w:r>
          </w:p>
        </w:tc>
        <w:tc>
          <w:tcPr>
            <w:tcW w:w="713" w:type="pct"/>
            <w:tcBorders>
              <w:top w:val="single" w:sz="4" w:space="0" w:color="auto"/>
              <w:bottom w:val="single" w:sz="4" w:space="0" w:color="auto"/>
            </w:tcBorders>
            <w:shd w:val="clear" w:color="auto" w:fill="auto"/>
            <w:noWrap/>
            <w:vAlign w:val="bottom"/>
            <w:hideMark/>
          </w:tcPr>
          <w:p w14:paraId="40471419"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∆CN</w:t>
            </w:r>
          </w:p>
        </w:tc>
        <w:tc>
          <w:tcPr>
            <w:tcW w:w="1338" w:type="pct"/>
            <w:gridSpan w:val="2"/>
            <w:tcBorders>
              <w:top w:val="single" w:sz="4" w:space="0" w:color="auto"/>
              <w:bottom w:val="single" w:sz="4" w:space="0" w:color="auto"/>
            </w:tcBorders>
            <w:shd w:val="clear" w:color="auto" w:fill="auto"/>
            <w:noWrap/>
            <w:vAlign w:val="bottom"/>
            <w:hideMark/>
          </w:tcPr>
          <w:p w14:paraId="01DAD7D4"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t - statistic, ECT(-1)</w:t>
            </w:r>
          </w:p>
        </w:tc>
      </w:tr>
      <w:tr w:rsidR="00065CF0" w:rsidRPr="00065CF0" w14:paraId="271EE294" w14:textId="77777777" w:rsidTr="00065CF0">
        <w:trPr>
          <w:trHeight w:val="300"/>
        </w:trPr>
        <w:tc>
          <w:tcPr>
            <w:tcW w:w="5000" w:type="pct"/>
            <w:gridSpan w:val="8"/>
            <w:tcBorders>
              <w:top w:val="single" w:sz="4" w:space="0" w:color="auto"/>
              <w:bottom w:val="single" w:sz="4" w:space="0" w:color="auto"/>
            </w:tcBorders>
            <w:shd w:val="clear" w:color="auto" w:fill="auto"/>
            <w:vAlign w:val="center"/>
            <w:hideMark/>
          </w:tcPr>
          <w:p w14:paraId="224AB56D" w14:textId="77777777" w:rsidR="00065CF0" w:rsidRPr="00065CF0" w:rsidRDefault="00065CF0" w:rsidP="009E6088">
            <w:pPr>
              <w:spacing w:after="0" w:line="240" w:lineRule="auto"/>
              <w:jc w:val="center"/>
              <w:rPr>
                <w:rFonts w:eastAsia="Times New Roman" w:cs="Times New Roman"/>
                <w:color w:val="000000"/>
                <w:sz w:val="18"/>
                <w:szCs w:val="18"/>
              </w:rPr>
            </w:pPr>
            <w:r w:rsidRPr="00065CF0">
              <w:rPr>
                <w:rFonts w:eastAsia="Times New Roman" w:cs="Times New Roman"/>
                <w:color w:val="000000"/>
                <w:sz w:val="18"/>
                <w:szCs w:val="18"/>
              </w:rPr>
              <w:t>SPI = JN</w:t>
            </w:r>
          </w:p>
        </w:tc>
      </w:tr>
      <w:tr w:rsidR="00F26101" w:rsidRPr="00065CF0" w14:paraId="5941C79D" w14:textId="77777777" w:rsidTr="00065CF0">
        <w:trPr>
          <w:trHeight w:val="300"/>
        </w:trPr>
        <w:tc>
          <w:tcPr>
            <w:tcW w:w="515" w:type="pct"/>
            <w:tcBorders>
              <w:top w:val="single" w:sz="4" w:space="0" w:color="auto"/>
            </w:tcBorders>
            <w:shd w:val="clear" w:color="auto" w:fill="auto"/>
            <w:noWrap/>
            <w:vAlign w:val="bottom"/>
            <w:hideMark/>
          </w:tcPr>
          <w:p w14:paraId="66E70248"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∆SPI</w:t>
            </w:r>
          </w:p>
        </w:tc>
        <w:tc>
          <w:tcPr>
            <w:tcW w:w="208" w:type="pct"/>
            <w:vMerge w:val="restart"/>
            <w:tcBorders>
              <w:top w:val="single" w:sz="4" w:space="0" w:color="auto"/>
            </w:tcBorders>
            <w:shd w:val="clear" w:color="auto" w:fill="auto"/>
            <w:noWrap/>
            <w:vAlign w:val="bottom"/>
            <w:hideMark/>
          </w:tcPr>
          <w:p w14:paraId="474F7F0A" w14:textId="261A47E5" w:rsidR="00DD7712" w:rsidRPr="00065CF0" w:rsidRDefault="00DD7712" w:rsidP="009E6088">
            <w:pPr>
              <w:spacing w:after="0" w:line="240" w:lineRule="auto"/>
              <w:jc w:val="both"/>
              <w:rPr>
                <w:rFonts w:eastAsia="Times New Roman" w:cs="Times New Roman"/>
                <w:color w:val="000000"/>
                <w:sz w:val="18"/>
                <w:szCs w:val="18"/>
              </w:rPr>
            </w:pPr>
          </w:p>
        </w:tc>
        <w:tc>
          <w:tcPr>
            <w:tcW w:w="752" w:type="pct"/>
            <w:tcBorders>
              <w:top w:val="single" w:sz="4" w:space="0" w:color="auto"/>
            </w:tcBorders>
            <w:shd w:val="clear" w:color="auto" w:fill="auto"/>
            <w:noWrap/>
            <w:vAlign w:val="bottom"/>
            <w:hideMark/>
          </w:tcPr>
          <w:p w14:paraId="4FC97846"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61" w:type="pct"/>
            <w:tcBorders>
              <w:top w:val="single" w:sz="4" w:space="0" w:color="auto"/>
            </w:tcBorders>
            <w:shd w:val="clear" w:color="auto" w:fill="auto"/>
            <w:noWrap/>
            <w:vAlign w:val="bottom"/>
            <w:hideMark/>
          </w:tcPr>
          <w:p w14:paraId="7F1806DE"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3.616564</w:t>
            </w:r>
            <w:r w:rsidRPr="00065CF0">
              <w:rPr>
                <w:rFonts w:eastAsia="Times New Roman" w:cs="Times New Roman"/>
                <w:color w:val="000000"/>
                <w:sz w:val="18"/>
                <w:szCs w:val="18"/>
                <w:vertAlign w:val="superscript"/>
              </w:rPr>
              <w:t>c</w:t>
            </w:r>
          </w:p>
        </w:tc>
        <w:tc>
          <w:tcPr>
            <w:tcW w:w="713" w:type="pct"/>
            <w:tcBorders>
              <w:top w:val="single" w:sz="4" w:space="0" w:color="auto"/>
            </w:tcBorders>
            <w:shd w:val="clear" w:color="auto" w:fill="auto"/>
            <w:noWrap/>
            <w:vAlign w:val="bottom"/>
            <w:hideMark/>
          </w:tcPr>
          <w:p w14:paraId="57CC7300"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3.48462</w:t>
            </w:r>
            <w:r w:rsidRPr="00065CF0">
              <w:rPr>
                <w:rFonts w:eastAsia="Times New Roman" w:cs="Times New Roman"/>
                <w:color w:val="000000"/>
                <w:sz w:val="18"/>
                <w:szCs w:val="18"/>
                <w:vertAlign w:val="superscript"/>
              </w:rPr>
              <w:t>c</w:t>
            </w:r>
          </w:p>
        </w:tc>
        <w:tc>
          <w:tcPr>
            <w:tcW w:w="713" w:type="pct"/>
            <w:tcBorders>
              <w:top w:val="single" w:sz="4" w:space="0" w:color="auto"/>
            </w:tcBorders>
            <w:shd w:val="clear" w:color="auto" w:fill="auto"/>
            <w:noWrap/>
            <w:vAlign w:val="bottom"/>
            <w:hideMark/>
          </w:tcPr>
          <w:p w14:paraId="5964A6AF"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0.247434</w:t>
            </w:r>
          </w:p>
        </w:tc>
        <w:tc>
          <w:tcPr>
            <w:tcW w:w="209" w:type="pct"/>
            <w:tcBorders>
              <w:top w:val="single" w:sz="4" w:space="0" w:color="auto"/>
            </w:tcBorders>
            <w:shd w:val="clear" w:color="auto" w:fill="auto"/>
            <w:noWrap/>
            <w:vAlign w:val="bottom"/>
            <w:hideMark/>
          </w:tcPr>
          <w:p w14:paraId="055B5FB2"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tcBorders>
              <w:top w:val="single" w:sz="4" w:space="0" w:color="auto"/>
            </w:tcBorders>
            <w:shd w:val="clear" w:color="auto" w:fill="auto"/>
            <w:noWrap/>
            <w:vAlign w:val="bottom"/>
            <w:hideMark/>
          </w:tcPr>
          <w:p w14:paraId="1D72D428"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-3.05215</w:t>
            </w:r>
            <w:r w:rsidRPr="00065CF0">
              <w:rPr>
                <w:rFonts w:eastAsia="Times New Roman" w:cs="Times New Roman"/>
                <w:color w:val="000000"/>
                <w:sz w:val="18"/>
                <w:szCs w:val="18"/>
                <w:vertAlign w:val="superscript"/>
              </w:rPr>
              <w:t>a</w:t>
            </w:r>
          </w:p>
        </w:tc>
      </w:tr>
      <w:tr w:rsidR="00F26101" w:rsidRPr="00065CF0" w14:paraId="34E56494" w14:textId="77777777" w:rsidTr="00065CF0">
        <w:trPr>
          <w:trHeight w:val="300"/>
        </w:trPr>
        <w:tc>
          <w:tcPr>
            <w:tcW w:w="515" w:type="pct"/>
            <w:shd w:val="clear" w:color="auto" w:fill="auto"/>
            <w:noWrap/>
            <w:vAlign w:val="bottom"/>
            <w:hideMark/>
          </w:tcPr>
          <w:p w14:paraId="4B93BE02"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∆PK</w:t>
            </w:r>
          </w:p>
        </w:tc>
        <w:tc>
          <w:tcPr>
            <w:tcW w:w="208" w:type="pct"/>
            <w:vMerge/>
            <w:vAlign w:val="center"/>
            <w:hideMark/>
          </w:tcPr>
          <w:p w14:paraId="7DED22BF"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0D5AF94B"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0.007133</w:t>
            </w:r>
          </w:p>
        </w:tc>
        <w:tc>
          <w:tcPr>
            <w:tcW w:w="761" w:type="pct"/>
            <w:shd w:val="clear" w:color="auto" w:fill="auto"/>
            <w:noWrap/>
            <w:vAlign w:val="bottom"/>
            <w:hideMark/>
          </w:tcPr>
          <w:p w14:paraId="761A681E"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13" w:type="pct"/>
            <w:shd w:val="clear" w:color="auto" w:fill="auto"/>
            <w:noWrap/>
            <w:vAlign w:val="bottom"/>
            <w:hideMark/>
          </w:tcPr>
          <w:p w14:paraId="6E1937BD"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0.647378</w:t>
            </w:r>
          </w:p>
        </w:tc>
        <w:tc>
          <w:tcPr>
            <w:tcW w:w="713" w:type="pct"/>
            <w:shd w:val="clear" w:color="auto" w:fill="auto"/>
            <w:noWrap/>
            <w:vAlign w:val="bottom"/>
            <w:hideMark/>
          </w:tcPr>
          <w:p w14:paraId="587C3CC7"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0.547836</w:t>
            </w:r>
          </w:p>
        </w:tc>
        <w:tc>
          <w:tcPr>
            <w:tcW w:w="209" w:type="pct"/>
            <w:shd w:val="clear" w:color="auto" w:fill="auto"/>
            <w:noWrap/>
            <w:vAlign w:val="bottom"/>
            <w:hideMark/>
          </w:tcPr>
          <w:p w14:paraId="3134868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47196931"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1.785692</w:t>
            </w:r>
          </w:p>
        </w:tc>
      </w:tr>
      <w:tr w:rsidR="00F26101" w:rsidRPr="00065CF0" w14:paraId="7349932D" w14:textId="77777777" w:rsidTr="00065CF0">
        <w:trPr>
          <w:trHeight w:val="300"/>
        </w:trPr>
        <w:tc>
          <w:tcPr>
            <w:tcW w:w="515" w:type="pct"/>
            <w:shd w:val="clear" w:color="auto" w:fill="auto"/>
            <w:noWrap/>
            <w:vAlign w:val="bottom"/>
            <w:hideMark/>
          </w:tcPr>
          <w:p w14:paraId="5F504B32"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∆IND</w:t>
            </w:r>
          </w:p>
        </w:tc>
        <w:tc>
          <w:tcPr>
            <w:tcW w:w="208" w:type="pct"/>
            <w:vMerge/>
            <w:vAlign w:val="center"/>
            <w:hideMark/>
          </w:tcPr>
          <w:p w14:paraId="2661974E"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08F65286"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0.007231</w:t>
            </w:r>
          </w:p>
        </w:tc>
        <w:tc>
          <w:tcPr>
            <w:tcW w:w="761" w:type="pct"/>
            <w:shd w:val="clear" w:color="auto" w:fill="auto"/>
            <w:noWrap/>
            <w:vAlign w:val="bottom"/>
            <w:hideMark/>
          </w:tcPr>
          <w:p w14:paraId="6CC88138"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0.022277</w:t>
            </w:r>
          </w:p>
        </w:tc>
        <w:tc>
          <w:tcPr>
            <w:tcW w:w="713" w:type="pct"/>
            <w:shd w:val="clear" w:color="auto" w:fill="auto"/>
            <w:noWrap/>
            <w:vAlign w:val="bottom"/>
            <w:hideMark/>
          </w:tcPr>
          <w:p w14:paraId="6312376E"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713" w:type="pct"/>
            <w:shd w:val="clear" w:color="auto" w:fill="auto"/>
            <w:noWrap/>
            <w:vAlign w:val="bottom"/>
            <w:hideMark/>
          </w:tcPr>
          <w:p w14:paraId="4CE55AFD"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0.175786</w:t>
            </w:r>
          </w:p>
        </w:tc>
        <w:tc>
          <w:tcPr>
            <w:tcW w:w="209" w:type="pct"/>
            <w:shd w:val="clear" w:color="auto" w:fill="auto"/>
            <w:noWrap/>
            <w:vAlign w:val="bottom"/>
            <w:hideMark/>
          </w:tcPr>
          <w:p w14:paraId="15E0888F"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61E397F6"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-2.61679</w:t>
            </w:r>
            <w:r w:rsidRPr="00065CF0">
              <w:rPr>
                <w:rFonts w:eastAsia="Times New Roman" w:cs="Times New Roman"/>
                <w:color w:val="000000"/>
                <w:sz w:val="18"/>
                <w:szCs w:val="18"/>
                <w:vertAlign w:val="superscript"/>
              </w:rPr>
              <w:t>a</w:t>
            </w:r>
          </w:p>
        </w:tc>
      </w:tr>
      <w:tr w:rsidR="00F26101" w:rsidRPr="00065CF0" w14:paraId="021A3FAA" w14:textId="77777777" w:rsidTr="00065CF0">
        <w:trPr>
          <w:trHeight w:val="300"/>
        </w:trPr>
        <w:tc>
          <w:tcPr>
            <w:tcW w:w="515" w:type="pct"/>
            <w:shd w:val="clear" w:color="auto" w:fill="auto"/>
            <w:noWrap/>
            <w:vAlign w:val="bottom"/>
            <w:hideMark/>
          </w:tcPr>
          <w:p w14:paraId="68A02B3E"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∆CN</w:t>
            </w:r>
          </w:p>
        </w:tc>
        <w:tc>
          <w:tcPr>
            <w:tcW w:w="208" w:type="pct"/>
            <w:vMerge/>
            <w:vAlign w:val="center"/>
            <w:hideMark/>
          </w:tcPr>
          <w:p w14:paraId="63A7DA24" w14:textId="77777777" w:rsidR="00DD7712" w:rsidRPr="00065CF0" w:rsidRDefault="00DD7712" w:rsidP="009E6088">
            <w:pPr>
              <w:spacing w:after="0" w:line="240" w:lineRule="auto"/>
              <w:jc w:val="both"/>
              <w:rPr>
                <w:rFonts w:eastAsia="Times New Roman" w:cs="Times New Roman"/>
                <w:color w:val="000000"/>
                <w:sz w:val="18"/>
                <w:szCs w:val="18"/>
              </w:rPr>
            </w:pPr>
          </w:p>
        </w:tc>
        <w:tc>
          <w:tcPr>
            <w:tcW w:w="752" w:type="pct"/>
            <w:shd w:val="clear" w:color="auto" w:fill="auto"/>
            <w:noWrap/>
            <w:vAlign w:val="bottom"/>
            <w:hideMark/>
          </w:tcPr>
          <w:p w14:paraId="39687125"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0.001645</w:t>
            </w:r>
          </w:p>
        </w:tc>
        <w:tc>
          <w:tcPr>
            <w:tcW w:w="761" w:type="pct"/>
            <w:shd w:val="clear" w:color="auto" w:fill="auto"/>
            <w:noWrap/>
            <w:vAlign w:val="bottom"/>
            <w:hideMark/>
          </w:tcPr>
          <w:p w14:paraId="76C958A7"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0.416928</w:t>
            </w:r>
          </w:p>
        </w:tc>
        <w:tc>
          <w:tcPr>
            <w:tcW w:w="713" w:type="pct"/>
            <w:shd w:val="clear" w:color="auto" w:fill="auto"/>
            <w:noWrap/>
            <w:vAlign w:val="bottom"/>
            <w:hideMark/>
          </w:tcPr>
          <w:p w14:paraId="255AF20F"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3.02856</w:t>
            </w:r>
            <w:r w:rsidRPr="00065CF0">
              <w:rPr>
                <w:rFonts w:eastAsia="Times New Roman" w:cs="Times New Roman"/>
                <w:color w:val="000000"/>
                <w:sz w:val="18"/>
                <w:szCs w:val="18"/>
                <w:vertAlign w:val="superscript"/>
              </w:rPr>
              <w:t>c</w:t>
            </w:r>
          </w:p>
        </w:tc>
        <w:tc>
          <w:tcPr>
            <w:tcW w:w="713" w:type="pct"/>
            <w:shd w:val="clear" w:color="auto" w:fill="auto"/>
            <w:noWrap/>
            <w:vAlign w:val="bottom"/>
            <w:hideMark/>
          </w:tcPr>
          <w:p w14:paraId="2D04F8CD"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209" w:type="pct"/>
            <w:shd w:val="clear" w:color="auto" w:fill="auto"/>
            <w:noWrap/>
            <w:vAlign w:val="bottom"/>
            <w:hideMark/>
          </w:tcPr>
          <w:p w14:paraId="32C991A9" w14:textId="77777777" w:rsidR="00DD7712" w:rsidRPr="00065CF0" w:rsidRDefault="00DD7712" w:rsidP="009E6088">
            <w:pPr>
              <w:spacing w:after="0" w:line="240" w:lineRule="auto"/>
              <w:jc w:val="both"/>
              <w:rPr>
                <w:rFonts w:eastAsia="Times New Roman" w:cs="Times New Roman"/>
                <w:color w:val="000000"/>
                <w:sz w:val="18"/>
                <w:szCs w:val="18"/>
              </w:rPr>
            </w:pPr>
            <w:r w:rsidRPr="00065CF0">
              <w:rPr>
                <w:rFonts w:eastAsia="Times New Roman" w:cs="Times New Roman"/>
                <w:color w:val="000000"/>
                <w:sz w:val="18"/>
                <w:szCs w:val="18"/>
              </w:rPr>
              <w:t> </w:t>
            </w:r>
          </w:p>
        </w:tc>
        <w:tc>
          <w:tcPr>
            <w:tcW w:w="1129" w:type="pct"/>
            <w:shd w:val="clear" w:color="auto" w:fill="auto"/>
            <w:noWrap/>
            <w:vAlign w:val="bottom"/>
            <w:hideMark/>
          </w:tcPr>
          <w:p w14:paraId="79E5DB48" w14:textId="77777777" w:rsidR="00DD7712" w:rsidRPr="00065CF0" w:rsidRDefault="00DD7712" w:rsidP="009E6088">
            <w:pPr>
              <w:spacing w:after="0" w:line="240" w:lineRule="auto"/>
              <w:jc w:val="both"/>
              <w:rPr>
                <w:rFonts w:eastAsia="Times New Roman" w:cs="Times New Roman"/>
                <w:color w:val="000000"/>
                <w:sz w:val="18"/>
                <w:szCs w:val="18"/>
                <w:vertAlign w:val="superscript"/>
              </w:rPr>
            </w:pPr>
            <w:r w:rsidRPr="00065CF0">
              <w:rPr>
                <w:rFonts w:eastAsia="Times New Roman" w:cs="Times New Roman"/>
                <w:color w:val="000000"/>
                <w:sz w:val="18"/>
                <w:szCs w:val="18"/>
              </w:rPr>
              <w:t>2.153517</w:t>
            </w:r>
            <w:r w:rsidRPr="00065CF0">
              <w:rPr>
                <w:rFonts w:eastAsia="Times New Roman" w:cs="Times New Roman"/>
                <w:color w:val="000000"/>
                <w:sz w:val="18"/>
                <w:szCs w:val="18"/>
                <w:vertAlign w:val="superscript"/>
              </w:rPr>
              <w:t>a</w:t>
            </w:r>
          </w:p>
        </w:tc>
      </w:tr>
    </w:tbl>
    <w:p w14:paraId="4408FC74" w14:textId="1ECA76B2" w:rsidR="00DD7712" w:rsidRDefault="00DD7712" w:rsidP="009E6088">
      <w:pPr>
        <w:pStyle w:val="NoSpacing"/>
        <w:rPr>
          <w:rFonts w:ascii="Times New Roman" w:hAnsi="Times New Roman" w:cs="Times New Roman"/>
          <w:sz w:val="18"/>
          <w:szCs w:val="18"/>
        </w:rPr>
      </w:pPr>
      <w:r w:rsidRPr="00FC7474">
        <w:rPr>
          <w:rFonts w:ascii="Times New Roman" w:hAnsi="Times New Roman" w:cs="Times New Roman"/>
          <w:sz w:val="20"/>
          <w:szCs w:val="20"/>
          <w:vertAlign w:val="superscript"/>
        </w:rPr>
        <w:t xml:space="preserve">a </w:t>
      </w:r>
      <w:r w:rsidRPr="00FC7474">
        <w:rPr>
          <w:rFonts w:ascii="Times New Roman" w:hAnsi="Times New Roman" w:cs="Times New Roman"/>
          <w:sz w:val="20"/>
          <w:szCs w:val="20"/>
        </w:rPr>
        <w:t xml:space="preserve">denotes significance at 5% level </w:t>
      </w:r>
      <w:r w:rsidRPr="00FC7474">
        <w:rPr>
          <w:rFonts w:ascii="Times New Roman" w:hAnsi="Times New Roman" w:cs="Times New Roman"/>
          <w:sz w:val="20"/>
          <w:szCs w:val="20"/>
          <w:vertAlign w:val="superscript"/>
        </w:rPr>
        <w:t>b</w:t>
      </w:r>
      <w:r w:rsidRPr="00FC7474">
        <w:rPr>
          <w:rFonts w:ascii="Times New Roman" w:hAnsi="Times New Roman" w:cs="Times New Roman"/>
          <w:sz w:val="20"/>
          <w:szCs w:val="20"/>
        </w:rPr>
        <w:t xml:space="preserve"> denotes significance at 10% level</w:t>
      </w:r>
      <w:r>
        <w:rPr>
          <w:rFonts w:ascii="Times New Roman" w:hAnsi="Times New Roman" w:cs="Times New Roman"/>
          <w:sz w:val="20"/>
          <w:szCs w:val="20"/>
        </w:rPr>
        <w:t>.</w:t>
      </w:r>
      <w:r w:rsidRPr="00FC7474">
        <w:rPr>
          <w:rFonts w:ascii="Times New Roman" w:hAnsi="Times New Roman" w:cs="Times New Roman"/>
          <w:sz w:val="18"/>
          <w:szCs w:val="18"/>
        </w:rPr>
        <w:t xml:space="preserve"> </w:t>
      </w:r>
      <w:r w:rsidRPr="00E52CF5">
        <w:rPr>
          <w:rFonts w:ascii="Times New Roman" w:hAnsi="Times New Roman" w:cs="Times New Roman"/>
          <w:sz w:val="18"/>
          <w:szCs w:val="18"/>
        </w:rPr>
        <w:t>Source: Authors' estimation</w:t>
      </w:r>
    </w:p>
    <w:p w14:paraId="58384076" w14:textId="77777777" w:rsidR="00905A47" w:rsidRPr="00FC7474" w:rsidRDefault="00905A47" w:rsidP="009E6088">
      <w:pPr>
        <w:pStyle w:val="NoSpacing"/>
        <w:rPr>
          <w:rFonts w:ascii="Times New Roman" w:hAnsi="Times New Roman" w:cs="Times New Roman"/>
          <w:sz w:val="20"/>
          <w:szCs w:val="20"/>
        </w:rPr>
      </w:pPr>
    </w:p>
    <w:p w14:paraId="27C9C19D" w14:textId="77777777" w:rsidR="00DD7712" w:rsidRPr="00905A47" w:rsidRDefault="00DD7712" w:rsidP="00AB13D4">
      <w:pPr>
        <w:pStyle w:val="Heading2"/>
      </w:pPr>
      <w:r w:rsidRPr="00A86B8B">
        <w:t>Variance Decomposition</w:t>
      </w:r>
    </w:p>
    <w:p w14:paraId="02157BDB" w14:textId="7EA44FF7" w:rsidR="00DD7712" w:rsidRDefault="00DD7712" w:rsidP="009E6088">
      <w:pPr>
        <w:pStyle w:val="NormalWeb"/>
        <w:shd w:val="clear" w:color="auto" w:fill="FFFFFF"/>
        <w:spacing w:before="0" w:beforeAutospacing="0" w:after="0" w:afterAutospacing="0"/>
        <w:ind w:firstLine="720"/>
        <w:jc w:val="both"/>
        <w:rPr>
          <w:bCs/>
        </w:rPr>
      </w:pPr>
      <w:r w:rsidRPr="000E24C2">
        <w:t xml:space="preserve"> </w:t>
      </w:r>
      <w:r w:rsidRPr="00905A47">
        <w:rPr>
          <w:bCs/>
        </w:rPr>
        <w:t>Having conducted the short run analysis through the model provided by the Vector Error Correction Mechanism, I proceed to the dynamic analysis of the impact of one market on to the other markets. The VECM analysis is strictly within sample analysis whereas the variance decomposition analysis allows us to predict the future course of the markets. The system is given a shock and the forecast error variance is calculated to gauge how shock to a given market translates to other markets. The error variance thus forecasted and calculated is decomposed into different components. The innovations in different stock markets is depicted by each of the different components.</w:t>
      </w:r>
    </w:p>
    <w:p w14:paraId="009CB151" w14:textId="77777777" w:rsidR="00905A47" w:rsidRPr="00905A47" w:rsidRDefault="00905A47" w:rsidP="009E6088">
      <w:pPr>
        <w:pStyle w:val="NormalWeb"/>
        <w:shd w:val="clear" w:color="auto" w:fill="FFFFFF"/>
        <w:spacing w:before="0" w:beforeAutospacing="0" w:after="0" w:afterAutospacing="0"/>
        <w:ind w:firstLine="720"/>
        <w:jc w:val="both"/>
        <w:rPr>
          <w:bCs/>
        </w:rPr>
      </w:pPr>
    </w:p>
    <w:p w14:paraId="0D3D2F8B" w14:textId="1731E23D" w:rsidR="00DD7712" w:rsidRDefault="00DD7712" w:rsidP="009E6088">
      <w:pPr>
        <w:pStyle w:val="NormalWeb"/>
        <w:shd w:val="clear" w:color="auto" w:fill="FFFFFF"/>
        <w:spacing w:before="0" w:beforeAutospacing="0" w:after="0" w:afterAutospacing="0"/>
        <w:ind w:firstLine="720"/>
        <w:jc w:val="both"/>
        <w:rPr>
          <w:bCs/>
        </w:rPr>
      </w:pPr>
      <w:r w:rsidRPr="00905A47">
        <w:rPr>
          <w:bCs/>
        </w:rPr>
        <w:t xml:space="preserve">Theoretically, if a market is explained mostly by its own forecasted error </w:t>
      </w:r>
      <w:r w:rsidR="00905707" w:rsidRPr="00905A47">
        <w:rPr>
          <w:bCs/>
        </w:rPr>
        <w:t>variance,</w:t>
      </w:r>
      <w:r w:rsidRPr="00905A47">
        <w:rPr>
          <w:bCs/>
        </w:rPr>
        <w:t xml:space="preserve"> then that market is relatively exogenous. The variance decomposition is reported for one week, 4 weeks (month forecast), 12 weeks (quarterly forecast), 21 weeks (semi-annual), 52 weeks (annual forecast).</w:t>
      </w:r>
    </w:p>
    <w:p w14:paraId="5C9E9BBA" w14:textId="77777777" w:rsidR="00905A47" w:rsidRPr="00905A47" w:rsidRDefault="00905A47" w:rsidP="009E6088">
      <w:pPr>
        <w:pStyle w:val="NormalWeb"/>
        <w:shd w:val="clear" w:color="auto" w:fill="FFFFFF"/>
        <w:spacing w:before="0" w:beforeAutospacing="0" w:after="0" w:afterAutospacing="0"/>
        <w:ind w:firstLine="720"/>
        <w:jc w:val="both"/>
        <w:rPr>
          <w:bCs/>
        </w:rPr>
      </w:pPr>
    </w:p>
    <w:p w14:paraId="7F5596B3" w14:textId="30034301" w:rsidR="00DD7712" w:rsidRDefault="00DD7712" w:rsidP="009E6088">
      <w:pPr>
        <w:pStyle w:val="NormalWeb"/>
        <w:shd w:val="clear" w:color="auto" w:fill="FFFFFF"/>
        <w:spacing w:before="0" w:beforeAutospacing="0" w:after="0" w:afterAutospacing="0"/>
        <w:ind w:firstLine="720"/>
        <w:jc w:val="both"/>
        <w:rPr>
          <w:bCs/>
        </w:rPr>
      </w:pPr>
      <w:r w:rsidRPr="00905A47">
        <w:rPr>
          <w:bCs/>
        </w:rPr>
        <w:t xml:space="preserve">The results discussed are only discussed for the 4 week period (short run) 52 weeks period (long run). The results are reported from table 5.5 to 5.8. In the short run </w:t>
      </w:r>
      <w:r w:rsidR="00905707" w:rsidRPr="00905A47">
        <w:rPr>
          <w:bCs/>
        </w:rPr>
        <w:t>i.e.,</w:t>
      </w:r>
      <w:r w:rsidRPr="00905A47">
        <w:rPr>
          <w:bCs/>
        </w:rPr>
        <w:t xml:space="preserve"> 4 weeks a month, table 5.5, the US market is the exogenous market with only 3% of the US market being explained by innovations in other markets. However, in the long run (52 weeks), 75% of the US market is explained by innovations in the Pakistan and the Indian market. In the short run, the Pakistani market is relatively exogenous where only 6% of its value is explained by the US market. The result is somewhat different from the short run analysis and as such this result is not consistent with our Granger temporal causality in which the US market does influence the Pakistani market in the short run. But as stated earlier, that the VECMs analyses the past data based on the lags of the variables thereby only providing a model for causal analysis and the variance decomposition is in effect a test for exogeneity (Brooks, 2014). Also, it is possible that the US market did not have a contemporaneous rather than had a lagged impact on the Pakistani market.</w:t>
      </w:r>
    </w:p>
    <w:p w14:paraId="082E3A95" w14:textId="4748CAE4" w:rsidR="00905707" w:rsidRDefault="00905707" w:rsidP="009E6088">
      <w:pPr>
        <w:pStyle w:val="NormalWeb"/>
        <w:shd w:val="clear" w:color="auto" w:fill="FFFFFF"/>
        <w:spacing w:before="0" w:beforeAutospacing="0" w:after="0" w:afterAutospacing="0"/>
        <w:ind w:firstLine="720"/>
        <w:jc w:val="both"/>
        <w:rPr>
          <w:bCs/>
        </w:rPr>
      </w:pPr>
    </w:p>
    <w:p w14:paraId="4E9C5762" w14:textId="5ED11A2D" w:rsidR="00142357" w:rsidRDefault="00142357" w:rsidP="009E6088">
      <w:pPr>
        <w:pStyle w:val="NormalWeb"/>
        <w:shd w:val="clear" w:color="auto" w:fill="FFFFFF"/>
        <w:spacing w:before="0" w:beforeAutospacing="0" w:after="0" w:afterAutospacing="0"/>
        <w:ind w:firstLine="720"/>
        <w:jc w:val="both"/>
        <w:rPr>
          <w:bCs/>
        </w:rPr>
      </w:pPr>
    </w:p>
    <w:p w14:paraId="16E60671" w14:textId="1191EB94" w:rsidR="00142357" w:rsidRDefault="00142357" w:rsidP="009E6088">
      <w:pPr>
        <w:pStyle w:val="NormalWeb"/>
        <w:shd w:val="clear" w:color="auto" w:fill="FFFFFF"/>
        <w:spacing w:before="0" w:beforeAutospacing="0" w:after="0" w:afterAutospacing="0"/>
        <w:ind w:firstLine="720"/>
        <w:jc w:val="both"/>
        <w:rPr>
          <w:bCs/>
        </w:rPr>
      </w:pPr>
    </w:p>
    <w:p w14:paraId="26074E08" w14:textId="01494467" w:rsidR="00142357" w:rsidRDefault="00142357" w:rsidP="009E6088">
      <w:pPr>
        <w:pStyle w:val="NormalWeb"/>
        <w:shd w:val="clear" w:color="auto" w:fill="FFFFFF"/>
        <w:spacing w:before="0" w:beforeAutospacing="0" w:after="0" w:afterAutospacing="0"/>
        <w:ind w:firstLine="720"/>
        <w:jc w:val="both"/>
        <w:rPr>
          <w:bCs/>
        </w:rPr>
      </w:pPr>
    </w:p>
    <w:p w14:paraId="72D1DF6F" w14:textId="77777777" w:rsidR="00142357" w:rsidRPr="00905A47" w:rsidRDefault="00142357" w:rsidP="009E6088">
      <w:pPr>
        <w:pStyle w:val="NormalWeb"/>
        <w:shd w:val="clear" w:color="auto" w:fill="FFFFFF"/>
        <w:spacing w:before="0" w:beforeAutospacing="0" w:after="0" w:afterAutospacing="0"/>
        <w:ind w:firstLine="720"/>
        <w:jc w:val="both"/>
        <w:rPr>
          <w:bCs/>
        </w:rPr>
      </w:pPr>
    </w:p>
    <w:p w14:paraId="1B5281C3" w14:textId="2ACC178B" w:rsidR="00142357" w:rsidRDefault="00DD7712" w:rsidP="009E6088">
      <w:pPr>
        <w:pStyle w:val="NoSpacing"/>
        <w:rPr>
          <w:rFonts w:ascii="Times New Roman" w:eastAsia="Times New Roman" w:hAnsi="Times New Roman" w:cs="Times New Roman"/>
          <w:b/>
          <w:sz w:val="20"/>
          <w:szCs w:val="20"/>
        </w:rPr>
      </w:pPr>
      <w:r w:rsidRPr="00142357">
        <w:rPr>
          <w:rFonts w:ascii="Times New Roman" w:eastAsia="Times New Roman" w:hAnsi="Times New Roman" w:cs="Times New Roman"/>
          <w:b/>
          <w:sz w:val="20"/>
          <w:szCs w:val="20"/>
        </w:rPr>
        <w:t xml:space="preserve">Table </w:t>
      </w:r>
      <w:r w:rsidR="00053A10">
        <w:rPr>
          <w:rFonts w:ascii="Times New Roman" w:eastAsia="Times New Roman" w:hAnsi="Times New Roman" w:cs="Times New Roman"/>
          <w:b/>
          <w:sz w:val="20"/>
          <w:szCs w:val="20"/>
        </w:rPr>
        <w:t>4</w:t>
      </w:r>
      <w:r w:rsidRPr="00142357">
        <w:rPr>
          <w:rFonts w:ascii="Times New Roman" w:eastAsia="Times New Roman" w:hAnsi="Times New Roman" w:cs="Times New Roman"/>
          <w:b/>
          <w:sz w:val="20"/>
          <w:szCs w:val="20"/>
        </w:rPr>
        <w:t>.5</w:t>
      </w:r>
    </w:p>
    <w:p w14:paraId="1183527F" w14:textId="0676EC43" w:rsidR="00DD7712" w:rsidRPr="00142357" w:rsidRDefault="00DD7712" w:rsidP="009E6088">
      <w:pPr>
        <w:pStyle w:val="NoSpacing"/>
        <w:rPr>
          <w:rFonts w:ascii="Times New Roman" w:eastAsia="Times New Roman" w:hAnsi="Times New Roman" w:cs="Times New Roman"/>
          <w:b/>
          <w:i/>
          <w:iCs/>
          <w:sz w:val="20"/>
          <w:szCs w:val="20"/>
        </w:rPr>
      </w:pPr>
      <w:r w:rsidRPr="00142357">
        <w:rPr>
          <w:rFonts w:ascii="Times New Roman" w:eastAsia="Times New Roman" w:hAnsi="Times New Roman" w:cs="Times New Roman"/>
          <w:b/>
          <w:i/>
          <w:iCs/>
          <w:sz w:val="20"/>
          <w:szCs w:val="20"/>
        </w:rPr>
        <w:t>Variance decomposition for the system including the US market</w:t>
      </w:r>
    </w:p>
    <w:tbl>
      <w:tblPr>
        <w:tblW w:w="0" w:type="auto"/>
        <w:tblBorders>
          <w:top w:val="single" w:sz="12" w:space="0" w:color="auto"/>
          <w:bottom w:val="single" w:sz="12" w:space="0" w:color="auto"/>
        </w:tblBorders>
        <w:tblLook w:val="04A0" w:firstRow="1" w:lastRow="0" w:firstColumn="1" w:lastColumn="0" w:noHBand="0" w:noVBand="1"/>
      </w:tblPr>
      <w:tblGrid>
        <w:gridCol w:w="685"/>
        <w:gridCol w:w="643"/>
        <w:gridCol w:w="624"/>
        <w:gridCol w:w="624"/>
        <w:gridCol w:w="542"/>
        <w:gridCol w:w="649"/>
        <w:gridCol w:w="643"/>
        <w:gridCol w:w="624"/>
        <w:gridCol w:w="624"/>
        <w:gridCol w:w="624"/>
      </w:tblGrid>
      <w:tr w:rsidR="00244EF8" w:rsidRPr="00142357" w14:paraId="344E918C" w14:textId="77777777" w:rsidTr="00244EF8">
        <w:trPr>
          <w:trHeight w:val="300"/>
        </w:trPr>
        <w:tc>
          <w:tcPr>
            <w:tcW w:w="0" w:type="auto"/>
            <w:gridSpan w:val="5"/>
            <w:tcBorders>
              <w:top w:val="single" w:sz="12" w:space="0" w:color="auto"/>
              <w:bottom w:val="single" w:sz="12" w:space="0" w:color="auto"/>
            </w:tcBorders>
            <w:shd w:val="clear" w:color="auto" w:fill="auto"/>
            <w:noWrap/>
            <w:vAlign w:val="bottom"/>
            <w:hideMark/>
          </w:tcPr>
          <w:p w14:paraId="7600980B" w14:textId="40254FA1"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Variance Decomposition of LUSA:</w:t>
            </w:r>
          </w:p>
        </w:tc>
        <w:tc>
          <w:tcPr>
            <w:tcW w:w="0" w:type="auto"/>
            <w:gridSpan w:val="5"/>
            <w:tcBorders>
              <w:top w:val="single" w:sz="12" w:space="0" w:color="auto"/>
              <w:bottom w:val="single" w:sz="12" w:space="0" w:color="auto"/>
            </w:tcBorders>
            <w:shd w:val="clear" w:color="auto" w:fill="auto"/>
            <w:noWrap/>
            <w:vAlign w:val="bottom"/>
            <w:hideMark/>
          </w:tcPr>
          <w:p w14:paraId="17AF1F40"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 xml:space="preserve"> Variance Decomposition of LIND:</w:t>
            </w:r>
          </w:p>
        </w:tc>
      </w:tr>
      <w:tr w:rsidR="00CC30C3" w:rsidRPr="00142357" w14:paraId="79700706" w14:textId="77777777" w:rsidTr="00244EF8">
        <w:trPr>
          <w:trHeight w:val="509"/>
        </w:trPr>
        <w:tc>
          <w:tcPr>
            <w:tcW w:w="733" w:type="dxa"/>
            <w:vMerge w:val="restart"/>
            <w:tcBorders>
              <w:top w:val="single" w:sz="12" w:space="0" w:color="auto"/>
              <w:bottom w:val="single" w:sz="4" w:space="0" w:color="auto"/>
            </w:tcBorders>
            <w:shd w:val="clear" w:color="auto" w:fill="auto"/>
            <w:noWrap/>
            <w:vAlign w:val="center"/>
            <w:hideMark/>
          </w:tcPr>
          <w:p w14:paraId="453283A6" w14:textId="2BB18D1D" w:rsidR="00E50B8C" w:rsidRPr="00142357" w:rsidRDefault="00E50B8C" w:rsidP="009E6088">
            <w:pPr>
              <w:spacing w:after="0" w:line="240" w:lineRule="auto"/>
              <w:rPr>
                <w:rFonts w:eastAsia="Times New Roman" w:cs="Times New Roman"/>
                <w:color w:val="000000"/>
                <w:sz w:val="20"/>
                <w:szCs w:val="20"/>
              </w:rPr>
            </w:pPr>
          </w:p>
        </w:tc>
        <w:tc>
          <w:tcPr>
            <w:tcW w:w="2383" w:type="dxa"/>
            <w:gridSpan w:val="4"/>
            <w:vMerge w:val="restart"/>
            <w:tcBorders>
              <w:top w:val="single" w:sz="12" w:space="0" w:color="auto"/>
              <w:bottom w:val="single" w:sz="4" w:space="0" w:color="auto"/>
            </w:tcBorders>
            <w:shd w:val="clear" w:color="auto" w:fill="auto"/>
            <w:vAlign w:val="center"/>
            <w:hideMark/>
          </w:tcPr>
          <w:p w14:paraId="3DF13E56" w14:textId="77777777" w:rsidR="00E50B8C" w:rsidRPr="00142357" w:rsidRDefault="00E50B8C" w:rsidP="009E6088">
            <w:pPr>
              <w:spacing w:after="0" w:line="240" w:lineRule="auto"/>
              <w:rPr>
                <w:rFonts w:eastAsia="Times New Roman" w:cs="Times New Roman"/>
                <w:color w:val="000000"/>
                <w:sz w:val="20"/>
                <w:szCs w:val="20"/>
              </w:rPr>
            </w:pPr>
            <w:r w:rsidRPr="00142357">
              <w:rPr>
                <w:rFonts w:eastAsia="Times New Roman" w:cs="Times New Roman"/>
                <w:color w:val="000000"/>
                <w:sz w:val="20"/>
                <w:szCs w:val="20"/>
              </w:rPr>
              <w:t>% of forecasted variance which is described by changes in</w:t>
            </w:r>
          </w:p>
        </w:tc>
        <w:tc>
          <w:tcPr>
            <w:tcW w:w="694" w:type="dxa"/>
            <w:vMerge w:val="restart"/>
            <w:tcBorders>
              <w:top w:val="single" w:sz="12" w:space="0" w:color="auto"/>
              <w:bottom w:val="single" w:sz="4" w:space="0" w:color="auto"/>
            </w:tcBorders>
            <w:shd w:val="clear" w:color="auto" w:fill="auto"/>
            <w:noWrap/>
            <w:vAlign w:val="center"/>
            <w:hideMark/>
          </w:tcPr>
          <w:p w14:paraId="45C6C15E" w14:textId="212BE309" w:rsidR="00E50B8C" w:rsidRPr="00142357" w:rsidRDefault="00E50B8C" w:rsidP="009E6088">
            <w:pPr>
              <w:spacing w:after="0" w:line="240" w:lineRule="auto"/>
              <w:rPr>
                <w:rFonts w:eastAsia="Times New Roman" w:cs="Times New Roman"/>
                <w:color w:val="000000"/>
                <w:sz w:val="20"/>
                <w:szCs w:val="20"/>
              </w:rPr>
            </w:pPr>
          </w:p>
        </w:tc>
        <w:tc>
          <w:tcPr>
            <w:tcW w:w="2462" w:type="dxa"/>
            <w:gridSpan w:val="4"/>
            <w:vMerge w:val="restart"/>
            <w:tcBorders>
              <w:top w:val="single" w:sz="12" w:space="0" w:color="auto"/>
              <w:bottom w:val="single" w:sz="4" w:space="0" w:color="auto"/>
            </w:tcBorders>
            <w:shd w:val="clear" w:color="auto" w:fill="auto"/>
            <w:vAlign w:val="center"/>
            <w:hideMark/>
          </w:tcPr>
          <w:p w14:paraId="74F51693" w14:textId="77777777" w:rsidR="00E50B8C" w:rsidRPr="00142357" w:rsidRDefault="00E50B8C" w:rsidP="009E6088">
            <w:pPr>
              <w:spacing w:after="0" w:line="240" w:lineRule="auto"/>
              <w:rPr>
                <w:rFonts w:eastAsia="Times New Roman" w:cs="Times New Roman"/>
                <w:color w:val="000000"/>
                <w:sz w:val="20"/>
                <w:szCs w:val="20"/>
              </w:rPr>
            </w:pPr>
            <w:r w:rsidRPr="00142357">
              <w:rPr>
                <w:rFonts w:eastAsia="Times New Roman" w:cs="Times New Roman"/>
                <w:color w:val="000000"/>
                <w:sz w:val="20"/>
                <w:szCs w:val="20"/>
              </w:rPr>
              <w:t>% of forecasted variance which is described by changes in</w:t>
            </w:r>
          </w:p>
        </w:tc>
      </w:tr>
      <w:tr w:rsidR="00CC30C3" w:rsidRPr="00142357" w14:paraId="33D02480" w14:textId="77777777" w:rsidTr="00244EF8">
        <w:trPr>
          <w:trHeight w:val="509"/>
        </w:trPr>
        <w:tc>
          <w:tcPr>
            <w:tcW w:w="733" w:type="dxa"/>
            <w:vMerge/>
            <w:tcBorders>
              <w:top w:val="nil"/>
              <w:bottom w:val="single" w:sz="4" w:space="0" w:color="auto"/>
            </w:tcBorders>
            <w:vAlign w:val="center"/>
            <w:hideMark/>
          </w:tcPr>
          <w:p w14:paraId="59CA7AAC" w14:textId="77777777" w:rsidR="00E50B8C" w:rsidRPr="00142357" w:rsidRDefault="00E50B8C" w:rsidP="009E6088">
            <w:pPr>
              <w:spacing w:after="0" w:line="240" w:lineRule="auto"/>
              <w:jc w:val="both"/>
              <w:rPr>
                <w:rFonts w:eastAsia="Times New Roman" w:cs="Times New Roman"/>
                <w:color w:val="000000"/>
                <w:sz w:val="20"/>
                <w:szCs w:val="20"/>
              </w:rPr>
            </w:pPr>
          </w:p>
        </w:tc>
        <w:tc>
          <w:tcPr>
            <w:tcW w:w="2383" w:type="dxa"/>
            <w:gridSpan w:val="4"/>
            <w:vMerge/>
            <w:tcBorders>
              <w:top w:val="nil"/>
              <w:bottom w:val="single" w:sz="4" w:space="0" w:color="auto"/>
            </w:tcBorders>
            <w:vAlign w:val="center"/>
            <w:hideMark/>
          </w:tcPr>
          <w:p w14:paraId="47D0FE50" w14:textId="77777777" w:rsidR="00E50B8C" w:rsidRPr="00142357" w:rsidRDefault="00E50B8C" w:rsidP="009E6088">
            <w:pPr>
              <w:spacing w:after="0" w:line="240" w:lineRule="auto"/>
              <w:jc w:val="both"/>
              <w:rPr>
                <w:rFonts w:eastAsia="Times New Roman" w:cs="Times New Roman"/>
                <w:color w:val="000000"/>
                <w:sz w:val="20"/>
                <w:szCs w:val="20"/>
              </w:rPr>
            </w:pPr>
          </w:p>
        </w:tc>
        <w:tc>
          <w:tcPr>
            <w:tcW w:w="694" w:type="dxa"/>
            <w:vMerge/>
            <w:tcBorders>
              <w:top w:val="nil"/>
              <w:bottom w:val="single" w:sz="4" w:space="0" w:color="auto"/>
            </w:tcBorders>
            <w:vAlign w:val="center"/>
            <w:hideMark/>
          </w:tcPr>
          <w:p w14:paraId="52B9458C" w14:textId="77777777" w:rsidR="00E50B8C" w:rsidRPr="00142357" w:rsidRDefault="00E50B8C" w:rsidP="009E6088">
            <w:pPr>
              <w:spacing w:after="0" w:line="240" w:lineRule="auto"/>
              <w:jc w:val="both"/>
              <w:rPr>
                <w:rFonts w:eastAsia="Times New Roman" w:cs="Times New Roman"/>
                <w:color w:val="000000"/>
                <w:sz w:val="20"/>
                <w:szCs w:val="20"/>
              </w:rPr>
            </w:pPr>
          </w:p>
        </w:tc>
        <w:tc>
          <w:tcPr>
            <w:tcW w:w="2462" w:type="dxa"/>
            <w:gridSpan w:val="4"/>
            <w:vMerge/>
            <w:tcBorders>
              <w:top w:val="nil"/>
              <w:bottom w:val="single" w:sz="4" w:space="0" w:color="auto"/>
            </w:tcBorders>
            <w:vAlign w:val="center"/>
            <w:hideMark/>
          </w:tcPr>
          <w:p w14:paraId="28ADEFAA" w14:textId="77777777" w:rsidR="00E50B8C" w:rsidRPr="00142357" w:rsidRDefault="00E50B8C" w:rsidP="009E6088">
            <w:pPr>
              <w:spacing w:after="0" w:line="240" w:lineRule="auto"/>
              <w:jc w:val="both"/>
              <w:rPr>
                <w:rFonts w:eastAsia="Times New Roman" w:cs="Times New Roman"/>
                <w:color w:val="000000"/>
                <w:sz w:val="20"/>
                <w:szCs w:val="20"/>
              </w:rPr>
            </w:pPr>
          </w:p>
        </w:tc>
      </w:tr>
      <w:tr w:rsidR="00CC30C3" w:rsidRPr="00142357" w14:paraId="7A5142D5" w14:textId="77777777" w:rsidTr="00B52FD9">
        <w:trPr>
          <w:trHeight w:val="300"/>
        </w:trPr>
        <w:tc>
          <w:tcPr>
            <w:tcW w:w="733" w:type="dxa"/>
            <w:tcBorders>
              <w:top w:val="single" w:sz="4" w:space="0" w:color="auto"/>
              <w:bottom w:val="single" w:sz="4" w:space="0" w:color="auto"/>
            </w:tcBorders>
            <w:shd w:val="clear" w:color="auto" w:fill="auto"/>
            <w:noWrap/>
            <w:hideMark/>
          </w:tcPr>
          <w:p w14:paraId="6A353B10" w14:textId="087B225B" w:rsidR="00E50B8C" w:rsidRPr="00CC30C3" w:rsidRDefault="00E50B8C" w:rsidP="009E6088">
            <w:pPr>
              <w:spacing w:after="0" w:line="240" w:lineRule="auto"/>
              <w:rPr>
                <w:rFonts w:eastAsia="Times New Roman" w:cs="Times New Roman"/>
                <w:color w:val="000000"/>
                <w:sz w:val="18"/>
                <w:szCs w:val="18"/>
              </w:rPr>
            </w:pPr>
            <w:r w:rsidRPr="00CC30C3">
              <w:rPr>
                <w:rFonts w:eastAsia="Times New Roman" w:cs="Times New Roman"/>
                <w:color w:val="000000"/>
                <w:sz w:val="18"/>
                <w:szCs w:val="18"/>
              </w:rPr>
              <w:t>Period</w:t>
            </w:r>
          </w:p>
        </w:tc>
        <w:tc>
          <w:tcPr>
            <w:tcW w:w="629" w:type="dxa"/>
            <w:tcBorders>
              <w:top w:val="single" w:sz="4" w:space="0" w:color="auto"/>
              <w:bottom w:val="single" w:sz="4" w:space="0" w:color="auto"/>
            </w:tcBorders>
            <w:shd w:val="clear" w:color="auto" w:fill="auto"/>
            <w:noWrap/>
            <w:hideMark/>
          </w:tcPr>
          <w:p w14:paraId="1727BEEA" w14:textId="77777777" w:rsidR="00E50B8C" w:rsidRPr="00CC30C3" w:rsidRDefault="00E50B8C" w:rsidP="009E6088">
            <w:pPr>
              <w:spacing w:after="0" w:line="240" w:lineRule="auto"/>
              <w:rPr>
                <w:rFonts w:eastAsia="Times New Roman" w:cs="Times New Roman"/>
                <w:color w:val="000000"/>
                <w:sz w:val="18"/>
                <w:szCs w:val="18"/>
              </w:rPr>
            </w:pPr>
            <w:r w:rsidRPr="00CC30C3">
              <w:rPr>
                <w:rFonts w:eastAsia="Times New Roman" w:cs="Times New Roman"/>
                <w:color w:val="000000"/>
                <w:sz w:val="18"/>
                <w:szCs w:val="18"/>
              </w:rPr>
              <w:t>LUSA</w:t>
            </w:r>
          </w:p>
        </w:tc>
        <w:tc>
          <w:tcPr>
            <w:tcW w:w="0" w:type="auto"/>
            <w:tcBorders>
              <w:top w:val="single" w:sz="4" w:space="0" w:color="auto"/>
              <w:bottom w:val="single" w:sz="4" w:space="0" w:color="auto"/>
            </w:tcBorders>
            <w:shd w:val="clear" w:color="auto" w:fill="auto"/>
            <w:noWrap/>
            <w:hideMark/>
          </w:tcPr>
          <w:p w14:paraId="6AD3D246" w14:textId="77777777" w:rsidR="00E50B8C" w:rsidRPr="00CC30C3" w:rsidRDefault="00E50B8C" w:rsidP="009E6088">
            <w:pPr>
              <w:spacing w:after="0" w:line="240" w:lineRule="auto"/>
              <w:rPr>
                <w:rFonts w:eastAsia="Times New Roman" w:cs="Times New Roman"/>
                <w:color w:val="000000"/>
                <w:sz w:val="18"/>
                <w:szCs w:val="18"/>
              </w:rPr>
            </w:pPr>
            <w:r w:rsidRPr="00CC30C3">
              <w:rPr>
                <w:rFonts w:eastAsia="Times New Roman" w:cs="Times New Roman"/>
                <w:color w:val="000000"/>
                <w:sz w:val="18"/>
                <w:szCs w:val="18"/>
              </w:rPr>
              <w:t>LPK</w:t>
            </w:r>
          </w:p>
        </w:tc>
        <w:tc>
          <w:tcPr>
            <w:tcW w:w="0" w:type="auto"/>
            <w:tcBorders>
              <w:top w:val="single" w:sz="4" w:space="0" w:color="auto"/>
              <w:bottom w:val="single" w:sz="4" w:space="0" w:color="auto"/>
            </w:tcBorders>
            <w:shd w:val="clear" w:color="auto" w:fill="auto"/>
            <w:noWrap/>
            <w:hideMark/>
          </w:tcPr>
          <w:p w14:paraId="5B36BB44" w14:textId="77777777" w:rsidR="00E50B8C" w:rsidRPr="00CC30C3" w:rsidRDefault="00E50B8C" w:rsidP="009E6088">
            <w:pPr>
              <w:spacing w:after="0" w:line="240" w:lineRule="auto"/>
              <w:rPr>
                <w:rFonts w:eastAsia="Times New Roman" w:cs="Times New Roman"/>
                <w:color w:val="000000"/>
                <w:sz w:val="18"/>
                <w:szCs w:val="18"/>
              </w:rPr>
            </w:pPr>
            <w:r w:rsidRPr="00CC30C3">
              <w:rPr>
                <w:rFonts w:eastAsia="Times New Roman" w:cs="Times New Roman"/>
                <w:color w:val="000000"/>
                <w:sz w:val="18"/>
                <w:szCs w:val="18"/>
              </w:rPr>
              <w:t>LIND</w:t>
            </w:r>
          </w:p>
        </w:tc>
        <w:tc>
          <w:tcPr>
            <w:tcW w:w="0" w:type="auto"/>
            <w:tcBorders>
              <w:top w:val="single" w:sz="4" w:space="0" w:color="auto"/>
              <w:bottom w:val="single" w:sz="4" w:space="0" w:color="auto"/>
            </w:tcBorders>
            <w:shd w:val="clear" w:color="auto" w:fill="auto"/>
            <w:noWrap/>
            <w:hideMark/>
          </w:tcPr>
          <w:p w14:paraId="5DBB1903" w14:textId="77777777" w:rsidR="00E50B8C" w:rsidRPr="00CC30C3" w:rsidRDefault="00E50B8C" w:rsidP="009E6088">
            <w:pPr>
              <w:spacing w:after="0" w:line="240" w:lineRule="auto"/>
              <w:rPr>
                <w:rFonts w:eastAsia="Times New Roman" w:cs="Times New Roman"/>
                <w:color w:val="000000"/>
                <w:sz w:val="18"/>
                <w:szCs w:val="18"/>
              </w:rPr>
            </w:pPr>
            <w:r w:rsidRPr="00CC30C3">
              <w:rPr>
                <w:rFonts w:eastAsia="Times New Roman" w:cs="Times New Roman"/>
                <w:color w:val="000000"/>
                <w:sz w:val="18"/>
                <w:szCs w:val="18"/>
              </w:rPr>
              <w:t>LCN</w:t>
            </w:r>
          </w:p>
        </w:tc>
        <w:tc>
          <w:tcPr>
            <w:tcW w:w="694" w:type="dxa"/>
            <w:tcBorders>
              <w:top w:val="single" w:sz="4" w:space="0" w:color="auto"/>
              <w:bottom w:val="single" w:sz="4" w:space="0" w:color="auto"/>
            </w:tcBorders>
            <w:shd w:val="clear" w:color="auto" w:fill="auto"/>
            <w:noWrap/>
            <w:hideMark/>
          </w:tcPr>
          <w:p w14:paraId="588D488D" w14:textId="6E1EC496" w:rsidR="00E50B8C" w:rsidRPr="00CC30C3" w:rsidRDefault="00E50B8C" w:rsidP="009E6088">
            <w:pPr>
              <w:spacing w:after="0" w:line="240" w:lineRule="auto"/>
              <w:rPr>
                <w:rFonts w:eastAsia="Times New Roman" w:cs="Times New Roman"/>
                <w:color w:val="000000"/>
                <w:sz w:val="18"/>
                <w:szCs w:val="18"/>
              </w:rPr>
            </w:pPr>
            <w:r w:rsidRPr="00CC30C3">
              <w:rPr>
                <w:rFonts w:eastAsia="Times New Roman" w:cs="Times New Roman"/>
                <w:color w:val="000000"/>
                <w:sz w:val="18"/>
                <w:szCs w:val="18"/>
              </w:rPr>
              <w:t>Period</w:t>
            </w:r>
          </w:p>
        </w:tc>
        <w:tc>
          <w:tcPr>
            <w:tcW w:w="629" w:type="dxa"/>
            <w:tcBorders>
              <w:top w:val="single" w:sz="4" w:space="0" w:color="auto"/>
              <w:bottom w:val="single" w:sz="4" w:space="0" w:color="auto"/>
            </w:tcBorders>
            <w:shd w:val="clear" w:color="auto" w:fill="auto"/>
            <w:noWrap/>
            <w:hideMark/>
          </w:tcPr>
          <w:p w14:paraId="3F252D07" w14:textId="77777777" w:rsidR="00E50B8C" w:rsidRPr="00CC30C3" w:rsidRDefault="00E50B8C" w:rsidP="009E6088">
            <w:pPr>
              <w:spacing w:after="0" w:line="240" w:lineRule="auto"/>
              <w:rPr>
                <w:rFonts w:eastAsia="Times New Roman" w:cs="Times New Roman"/>
                <w:color w:val="000000"/>
                <w:sz w:val="18"/>
                <w:szCs w:val="18"/>
              </w:rPr>
            </w:pPr>
            <w:r w:rsidRPr="00CC30C3">
              <w:rPr>
                <w:rFonts w:eastAsia="Times New Roman" w:cs="Times New Roman"/>
                <w:color w:val="000000"/>
                <w:sz w:val="18"/>
                <w:szCs w:val="18"/>
              </w:rPr>
              <w:t>LUSA</w:t>
            </w:r>
          </w:p>
        </w:tc>
        <w:tc>
          <w:tcPr>
            <w:tcW w:w="0" w:type="auto"/>
            <w:tcBorders>
              <w:top w:val="single" w:sz="4" w:space="0" w:color="auto"/>
              <w:bottom w:val="single" w:sz="4" w:space="0" w:color="auto"/>
            </w:tcBorders>
            <w:shd w:val="clear" w:color="auto" w:fill="auto"/>
            <w:noWrap/>
            <w:hideMark/>
          </w:tcPr>
          <w:p w14:paraId="103D3D4A" w14:textId="77777777" w:rsidR="00E50B8C" w:rsidRPr="00CC30C3" w:rsidRDefault="00E50B8C" w:rsidP="009E6088">
            <w:pPr>
              <w:spacing w:after="0" w:line="240" w:lineRule="auto"/>
              <w:rPr>
                <w:rFonts w:eastAsia="Times New Roman" w:cs="Times New Roman"/>
                <w:color w:val="000000"/>
                <w:sz w:val="18"/>
                <w:szCs w:val="18"/>
              </w:rPr>
            </w:pPr>
            <w:r w:rsidRPr="00CC30C3">
              <w:rPr>
                <w:rFonts w:eastAsia="Times New Roman" w:cs="Times New Roman"/>
                <w:color w:val="000000"/>
                <w:sz w:val="18"/>
                <w:szCs w:val="18"/>
              </w:rPr>
              <w:t>LPK</w:t>
            </w:r>
          </w:p>
        </w:tc>
        <w:tc>
          <w:tcPr>
            <w:tcW w:w="0" w:type="auto"/>
            <w:tcBorders>
              <w:top w:val="single" w:sz="4" w:space="0" w:color="auto"/>
              <w:bottom w:val="single" w:sz="4" w:space="0" w:color="auto"/>
            </w:tcBorders>
            <w:shd w:val="clear" w:color="auto" w:fill="auto"/>
            <w:noWrap/>
            <w:hideMark/>
          </w:tcPr>
          <w:p w14:paraId="1864E7E6" w14:textId="77777777" w:rsidR="00E50B8C" w:rsidRPr="00CC30C3" w:rsidRDefault="00E50B8C" w:rsidP="009E6088">
            <w:pPr>
              <w:spacing w:after="0" w:line="240" w:lineRule="auto"/>
              <w:rPr>
                <w:rFonts w:eastAsia="Times New Roman" w:cs="Times New Roman"/>
                <w:color w:val="000000"/>
                <w:sz w:val="18"/>
                <w:szCs w:val="18"/>
              </w:rPr>
            </w:pPr>
            <w:r w:rsidRPr="00CC30C3">
              <w:rPr>
                <w:rFonts w:eastAsia="Times New Roman" w:cs="Times New Roman"/>
                <w:color w:val="000000"/>
                <w:sz w:val="18"/>
                <w:szCs w:val="18"/>
              </w:rPr>
              <w:t>LIND</w:t>
            </w:r>
          </w:p>
        </w:tc>
        <w:tc>
          <w:tcPr>
            <w:tcW w:w="0" w:type="auto"/>
            <w:tcBorders>
              <w:top w:val="single" w:sz="4" w:space="0" w:color="auto"/>
              <w:bottom w:val="single" w:sz="4" w:space="0" w:color="auto"/>
            </w:tcBorders>
            <w:shd w:val="clear" w:color="auto" w:fill="auto"/>
            <w:noWrap/>
            <w:hideMark/>
          </w:tcPr>
          <w:p w14:paraId="722115E1" w14:textId="77777777" w:rsidR="00E50B8C" w:rsidRPr="00CC30C3" w:rsidRDefault="00E50B8C" w:rsidP="009E6088">
            <w:pPr>
              <w:spacing w:after="0" w:line="240" w:lineRule="auto"/>
              <w:rPr>
                <w:rFonts w:eastAsia="Times New Roman" w:cs="Times New Roman"/>
                <w:color w:val="000000"/>
                <w:sz w:val="18"/>
                <w:szCs w:val="18"/>
              </w:rPr>
            </w:pPr>
            <w:r w:rsidRPr="00CC30C3">
              <w:rPr>
                <w:rFonts w:eastAsia="Times New Roman" w:cs="Times New Roman"/>
                <w:color w:val="000000"/>
                <w:sz w:val="18"/>
                <w:szCs w:val="18"/>
              </w:rPr>
              <w:t>LCN</w:t>
            </w:r>
          </w:p>
        </w:tc>
      </w:tr>
      <w:tr w:rsidR="00CC30C3" w:rsidRPr="00142357" w14:paraId="72D0A86F" w14:textId="77777777" w:rsidTr="00244EF8">
        <w:trPr>
          <w:trHeight w:val="300"/>
        </w:trPr>
        <w:tc>
          <w:tcPr>
            <w:tcW w:w="733" w:type="dxa"/>
            <w:tcBorders>
              <w:top w:val="single" w:sz="4" w:space="0" w:color="auto"/>
              <w:bottom w:val="single" w:sz="4" w:space="0" w:color="auto"/>
            </w:tcBorders>
            <w:shd w:val="clear" w:color="auto" w:fill="auto"/>
            <w:noWrap/>
            <w:vAlign w:val="bottom"/>
            <w:hideMark/>
          </w:tcPr>
          <w:p w14:paraId="6C08496C" w14:textId="2BE6D4E0" w:rsidR="00E50B8C" w:rsidRPr="00CC30C3" w:rsidRDefault="00E50B8C" w:rsidP="009E6088">
            <w:pPr>
              <w:spacing w:after="0" w:line="240" w:lineRule="auto"/>
              <w:jc w:val="both"/>
              <w:rPr>
                <w:rFonts w:eastAsia="Times New Roman" w:cs="Times New Roman"/>
                <w:color w:val="000000"/>
                <w:sz w:val="18"/>
                <w:szCs w:val="18"/>
              </w:rPr>
            </w:pPr>
            <w:r w:rsidRPr="00CC30C3">
              <w:rPr>
                <w:rFonts w:eastAsia="Times New Roman" w:cs="Times New Roman"/>
                <w:color w:val="000000"/>
                <w:sz w:val="18"/>
                <w:szCs w:val="18"/>
              </w:rPr>
              <w:t>Week</w:t>
            </w:r>
          </w:p>
        </w:tc>
        <w:tc>
          <w:tcPr>
            <w:tcW w:w="629" w:type="dxa"/>
            <w:tcBorders>
              <w:top w:val="single" w:sz="4" w:space="0" w:color="auto"/>
              <w:bottom w:val="single" w:sz="4" w:space="0" w:color="auto"/>
            </w:tcBorders>
            <w:shd w:val="clear" w:color="auto" w:fill="auto"/>
            <w:noWrap/>
            <w:vAlign w:val="bottom"/>
            <w:hideMark/>
          </w:tcPr>
          <w:p w14:paraId="14F5B45D" w14:textId="77777777" w:rsidR="00E50B8C" w:rsidRPr="00CC30C3" w:rsidRDefault="00E50B8C" w:rsidP="009E6088">
            <w:pPr>
              <w:spacing w:after="0" w:line="240" w:lineRule="auto"/>
              <w:jc w:val="both"/>
              <w:rPr>
                <w:rFonts w:eastAsia="Times New Roman" w:cs="Times New Roman"/>
                <w:color w:val="000000"/>
                <w:sz w:val="18"/>
                <w:szCs w:val="18"/>
              </w:rPr>
            </w:pPr>
            <w:r w:rsidRPr="00CC30C3">
              <w:rPr>
                <w:rFonts w:eastAsia="Times New Roman" w:cs="Times New Roman"/>
                <w:color w:val="000000"/>
                <w:sz w:val="18"/>
                <w:szCs w:val="18"/>
              </w:rPr>
              <w:t> </w:t>
            </w:r>
          </w:p>
        </w:tc>
        <w:tc>
          <w:tcPr>
            <w:tcW w:w="0" w:type="auto"/>
            <w:tcBorders>
              <w:top w:val="single" w:sz="4" w:space="0" w:color="auto"/>
              <w:bottom w:val="single" w:sz="4" w:space="0" w:color="auto"/>
            </w:tcBorders>
            <w:shd w:val="clear" w:color="auto" w:fill="auto"/>
            <w:noWrap/>
            <w:vAlign w:val="bottom"/>
            <w:hideMark/>
          </w:tcPr>
          <w:p w14:paraId="31151EA4" w14:textId="77777777" w:rsidR="00E50B8C" w:rsidRPr="00CC30C3" w:rsidRDefault="00E50B8C" w:rsidP="009E6088">
            <w:pPr>
              <w:spacing w:after="0" w:line="240" w:lineRule="auto"/>
              <w:jc w:val="both"/>
              <w:rPr>
                <w:rFonts w:eastAsia="Times New Roman" w:cs="Times New Roman"/>
                <w:color w:val="000000"/>
                <w:sz w:val="18"/>
                <w:szCs w:val="18"/>
              </w:rPr>
            </w:pPr>
            <w:r w:rsidRPr="00CC30C3">
              <w:rPr>
                <w:rFonts w:eastAsia="Times New Roman" w:cs="Times New Roman"/>
                <w:color w:val="000000"/>
                <w:sz w:val="18"/>
                <w:szCs w:val="18"/>
              </w:rPr>
              <w:t> </w:t>
            </w:r>
          </w:p>
        </w:tc>
        <w:tc>
          <w:tcPr>
            <w:tcW w:w="0" w:type="auto"/>
            <w:tcBorders>
              <w:top w:val="single" w:sz="4" w:space="0" w:color="auto"/>
              <w:bottom w:val="single" w:sz="4" w:space="0" w:color="auto"/>
            </w:tcBorders>
            <w:shd w:val="clear" w:color="auto" w:fill="auto"/>
            <w:noWrap/>
            <w:vAlign w:val="bottom"/>
            <w:hideMark/>
          </w:tcPr>
          <w:p w14:paraId="12453EAA" w14:textId="77777777" w:rsidR="00E50B8C" w:rsidRPr="00CC30C3" w:rsidRDefault="00E50B8C" w:rsidP="009E6088">
            <w:pPr>
              <w:spacing w:after="0" w:line="240" w:lineRule="auto"/>
              <w:jc w:val="both"/>
              <w:rPr>
                <w:rFonts w:eastAsia="Times New Roman" w:cs="Times New Roman"/>
                <w:color w:val="000000"/>
                <w:sz w:val="18"/>
                <w:szCs w:val="18"/>
              </w:rPr>
            </w:pPr>
            <w:r w:rsidRPr="00CC30C3">
              <w:rPr>
                <w:rFonts w:eastAsia="Times New Roman" w:cs="Times New Roman"/>
                <w:color w:val="000000"/>
                <w:sz w:val="18"/>
                <w:szCs w:val="18"/>
              </w:rPr>
              <w:t> </w:t>
            </w:r>
          </w:p>
        </w:tc>
        <w:tc>
          <w:tcPr>
            <w:tcW w:w="0" w:type="auto"/>
            <w:tcBorders>
              <w:top w:val="single" w:sz="4" w:space="0" w:color="auto"/>
              <w:bottom w:val="single" w:sz="4" w:space="0" w:color="auto"/>
            </w:tcBorders>
            <w:shd w:val="clear" w:color="auto" w:fill="auto"/>
            <w:noWrap/>
            <w:vAlign w:val="bottom"/>
            <w:hideMark/>
          </w:tcPr>
          <w:p w14:paraId="0581C55F" w14:textId="77777777" w:rsidR="00E50B8C" w:rsidRPr="00CC30C3" w:rsidRDefault="00E50B8C" w:rsidP="009E6088">
            <w:pPr>
              <w:spacing w:after="0" w:line="240" w:lineRule="auto"/>
              <w:jc w:val="both"/>
              <w:rPr>
                <w:rFonts w:eastAsia="Times New Roman" w:cs="Times New Roman"/>
                <w:color w:val="000000"/>
                <w:sz w:val="18"/>
                <w:szCs w:val="18"/>
              </w:rPr>
            </w:pPr>
            <w:r w:rsidRPr="00CC30C3">
              <w:rPr>
                <w:rFonts w:eastAsia="Times New Roman" w:cs="Times New Roman"/>
                <w:color w:val="000000"/>
                <w:sz w:val="18"/>
                <w:szCs w:val="18"/>
              </w:rPr>
              <w:t> </w:t>
            </w:r>
          </w:p>
        </w:tc>
        <w:tc>
          <w:tcPr>
            <w:tcW w:w="694" w:type="dxa"/>
            <w:tcBorders>
              <w:top w:val="single" w:sz="4" w:space="0" w:color="auto"/>
              <w:bottom w:val="single" w:sz="4" w:space="0" w:color="auto"/>
            </w:tcBorders>
            <w:shd w:val="clear" w:color="auto" w:fill="auto"/>
            <w:noWrap/>
            <w:vAlign w:val="bottom"/>
            <w:hideMark/>
          </w:tcPr>
          <w:p w14:paraId="6E546CD7" w14:textId="5181665F" w:rsidR="00E50B8C" w:rsidRPr="00CC30C3" w:rsidRDefault="00E50B8C" w:rsidP="009E6088">
            <w:pPr>
              <w:spacing w:after="0" w:line="240" w:lineRule="auto"/>
              <w:jc w:val="both"/>
              <w:rPr>
                <w:rFonts w:eastAsia="Times New Roman" w:cs="Times New Roman"/>
                <w:color w:val="000000"/>
                <w:sz w:val="18"/>
                <w:szCs w:val="18"/>
              </w:rPr>
            </w:pPr>
            <w:r w:rsidRPr="00CC30C3">
              <w:rPr>
                <w:rFonts w:eastAsia="Times New Roman" w:cs="Times New Roman"/>
                <w:color w:val="000000"/>
                <w:sz w:val="18"/>
                <w:szCs w:val="18"/>
              </w:rPr>
              <w:t>Week</w:t>
            </w:r>
          </w:p>
        </w:tc>
        <w:tc>
          <w:tcPr>
            <w:tcW w:w="629" w:type="dxa"/>
            <w:tcBorders>
              <w:top w:val="single" w:sz="4" w:space="0" w:color="auto"/>
              <w:bottom w:val="single" w:sz="4" w:space="0" w:color="auto"/>
            </w:tcBorders>
            <w:shd w:val="clear" w:color="auto" w:fill="auto"/>
            <w:noWrap/>
            <w:vAlign w:val="bottom"/>
            <w:hideMark/>
          </w:tcPr>
          <w:p w14:paraId="37E05DFB" w14:textId="77777777" w:rsidR="00E50B8C" w:rsidRPr="00CC30C3" w:rsidRDefault="00E50B8C" w:rsidP="009E6088">
            <w:pPr>
              <w:spacing w:after="0" w:line="240" w:lineRule="auto"/>
              <w:jc w:val="both"/>
              <w:rPr>
                <w:rFonts w:eastAsia="Times New Roman" w:cs="Times New Roman"/>
                <w:color w:val="000000"/>
                <w:sz w:val="18"/>
                <w:szCs w:val="18"/>
              </w:rPr>
            </w:pPr>
            <w:r w:rsidRPr="00CC30C3">
              <w:rPr>
                <w:rFonts w:eastAsia="Times New Roman" w:cs="Times New Roman"/>
                <w:color w:val="000000"/>
                <w:sz w:val="18"/>
                <w:szCs w:val="18"/>
              </w:rPr>
              <w:t> </w:t>
            </w:r>
          </w:p>
        </w:tc>
        <w:tc>
          <w:tcPr>
            <w:tcW w:w="0" w:type="auto"/>
            <w:tcBorders>
              <w:top w:val="single" w:sz="4" w:space="0" w:color="auto"/>
              <w:bottom w:val="single" w:sz="4" w:space="0" w:color="auto"/>
            </w:tcBorders>
            <w:shd w:val="clear" w:color="auto" w:fill="auto"/>
            <w:noWrap/>
            <w:vAlign w:val="bottom"/>
            <w:hideMark/>
          </w:tcPr>
          <w:p w14:paraId="358232FC" w14:textId="77777777" w:rsidR="00E50B8C" w:rsidRPr="00CC30C3" w:rsidRDefault="00E50B8C" w:rsidP="009E6088">
            <w:pPr>
              <w:spacing w:after="0" w:line="240" w:lineRule="auto"/>
              <w:jc w:val="both"/>
              <w:rPr>
                <w:rFonts w:eastAsia="Times New Roman" w:cs="Times New Roman"/>
                <w:color w:val="000000"/>
                <w:sz w:val="18"/>
                <w:szCs w:val="18"/>
              </w:rPr>
            </w:pPr>
            <w:r w:rsidRPr="00CC30C3">
              <w:rPr>
                <w:rFonts w:eastAsia="Times New Roman" w:cs="Times New Roman"/>
                <w:color w:val="000000"/>
                <w:sz w:val="18"/>
                <w:szCs w:val="18"/>
              </w:rPr>
              <w:t> </w:t>
            </w:r>
          </w:p>
        </w:tc>
        <w:tc>
          <w:tcPr>
            <w:tcW w:w="0" w:type="auto"/>
            <w:tcBorders>
              <w:top w:val="single" w:sz="4" w:space="0" w:color="auto"/>
              <w:bottom w:val="single" w:sz="4" w:space="0" w:color="auto"/>
            </w:tcBorders>
            <w:shd w:val="clear" w:color="auto" w:fill="auto"/>
            <w:noWrap/>
            <w:vAlign w:val="bottom"/>
            <w:hideMark/>
          </w:tcPr>
          <w:p w14:paraId="5EEACE5A" w14:textId="77777777" w:rsidR="00E50B8C" w:rsidRPr="00CC30C3" w:rsidRDefault="00E50B8C" w:rsidP="009E6088">
            <w:pPr>
              <w:spacing w:after="0" w:line="240" w:lineRule="auto"/>
              <w:jc w:val="both"/>
              <w:rPr>
                <w:rFonts w:eastAsia="Times New Roman" w:cs="Times New Roman"/>
                <w:color w:val="000000"/>
                <w:sz w:val="18"/>
                <w:szCs w:val="18"/>
              </w:rPr>
            </w:pPr>
            <w:r w:rsidRPr="00CC30C3">
              <w:rPr>
                <w:rFonts w:eastAsia="Times New Roman" w:cs="Times New Roman"/>
                <w:color w:val="000000"/>
                <w:sz w:val="18"/>
                <w:szCs w:val="18"/>
              </w:rPr>
              <w:t> </w:t>
            </w:r>
          </w:p>
        </w:tc>
        <w:tc>
          <w:tcPr>
            <w:tcW w:w="0" w:type="auto"/>
            <w:tcBorders>
              <w:top w:val="single" w:sz="4" w:space="0" w:color="auto"/>
              <w:bottom w:val="single" w:sz="4" w:space="0" w:color="auto"/>
            </w:tcBorders>
            <w:shd w:val="clear" w:color="auto" w:fill="auto"/>
            <w:noWrap/>
            <w:vAlign w:val="bottom"/>
            <w:hideMark/>
          </w:tcPr>
          <w:p w14:paraId="70FB469B" w14:textId="77777777" w:rsidR="00E50B8C" w:rsidRPr="00CC30C3" w:rsidRDefault="00E50B8C" w:rsidP="009E6088">
            <w:pPr>
              <w:spacing w:after="0" w:line="240" w:lineRule="auto"/>
              <w:jc w:val="both"/>
              <w:rPr>
                <w:rFonts w:eastAsia="Times New Roman" w:cs="Times New Roman"/>
                <w:color w:val="000000"/>
                <w:sz w:val="18"/>
                <w:szCs w:val="18"/>
              </w:rPr>
            </w:pPr>
            <w:r w:rsidRPr="00CC30C3">
              <w:rPr>
                <w:rFonts w:eastAsia="Times New Roman" w:cs="Times New Roman"/>
                <w:color w:val="000000"/>
                <w:sz w:val="18"/>
                <w:szCs w:val="18"/>
              </w:rPr>
              <w:t> </w:t>
            </w:r>
          </w:p>
        </w:tc>
      </w:tr>
      <w:tr w:rsidR="00CC30C3" w:rsidRPr="00142357" w14:paraId="0651C9EE" w14:textId="77777777" w:rsidTr="00244EF8">
        <w:trPr>
          <w:trHeight w:val="300"/>
        </w:trPr>
        <w:tc>
          <w:tcPr>
            <w:tcW w:w="733" w:type="dxa"/>
            <w:tcBorders>
              <w:top w:val="single" w:sz="4" w:space="0" w:color="auto"/>
            </w:tcBorders>
            <w:shd w:val="clear" w:color="auto" w:fill="auto"/>
            <w:noWrap/>
            <w:vAlign w:val="bottom"/>
            <w:hideMark/>
          </w:tcPr>
          <w:p w14:paraId="628DE8A7" w14:textId="4210C65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w:t>
            </w:r>
          </w:p>
        </w:tc>
        <w:tc>
          <w:tcPr>
            <w:tcW w:w="629" w:type="dxa"/>
            <w:tcBorders>
              <w:top w:val="single" w:sz="4" w:space="0" w:color="auto"/>
            </w:tcBorders>
            <w:shd w:val="clear" w:color="auto" w:fill="auto"/>
            <w:noWrap/>
            <w:vAlign w:val="bottom"/>
            <w:hideMark/>
          </w:tcPr>
          <w:p w14:paraId="7923419B"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100</w:t>
            </w:r>
          </w:p>
        </w:tc>
        <w:tc>
          <w:tcPr>
            <w:tcW w:w="0" w:type="auto"/>
            <w:tcBorders>
              <w:top w:val="single" w:sz="4" w:space="0" w:color="auto"/>
            </w:tcBorders>
            <w:shd w:val="clear" w:color="auto" w:fill="auto"/>
            <w:noWrap/>
            <w:vAlign w:val="bottom"/>
            <w:hideMark/>
          </w:tcPr>
          <w:p w14:paraId="5898C993"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w:t>
            </w:r>
          </w:p>
        </w:tc>
        <w:tc>
          <w:tcPr>
            <w:tcW w:w="0" w:type="auto"/>
            <w:tcBorders>
              <w:top w:val="single" w:sz="4" w:space="0" w:color="auto"/>
            </w:tcBorders>
            <w:shd w:val="clear" w:color="auto" w:fill="auto"/>
            <w:noWrap/>
            <w:vAlign w:val="bottom"/>
            <w:hideMark/>
          </w:tcPr>
          <w:p w14:paraId="7879E663"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w:t>
            </w:r>
          </w:p>
        </w:tc>
        <w:tc>
          <w:tcPr>
            <w:tcW w:w="0" w:type="auto"/>
            <w:tcBorders>
              <w:top w:val="single" w:sz="4" w:space="0" w:color="auto"/>
            </w:tcBorders>
            <w:shd w:val="clear" w:color="auto" w:fill="auto"/>
            <w:noWrap/>
            <w:vAlign w:val="bottom"/>
            <w:hideMark/>
          </w:tcPr>
          <w:p w14:paraId="778869EF"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w:t>
            </w:r>
          </w:p>
        </w:tc>
        <w:tc>
          <w:tcPr>
            <w:tcW w:w="694" w:type="dxa"/>
            <w:tcBorders>
              <w:top w:val="single" w:sz="4" w:space="0" w:color="auto"/>
            </w:tcBorders>
            <w:shd w:val="clear" w:color="auto" w:fill="auto"/>
            <w:noWrap/>
            <w:vAlign w:val="bottom"/>
            <w:hideMark/>
          </w:tcPr>
          <w:p w14:paraId="4B80C7EC" w14:textId="6F9D126C"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w:t>
            </w:r>
          </w:p>
        </w:tc>
        <w:tc>
          <w:tcPr>
            <w:tcW w:w="629" w:type="dxa"/>
            <w:tcBorders>
              <w:top w:val="single" w:sz="4" w:space="0" w:color="auto"/>
            </w:tcBorders>
            <w:shd w:val="clear" w:color="auto" w:fill="auto"/>
            <w:noWrap/>
            <w:vAlign w:val="bottom"/>
            <w:hideMark/>
          </w:tcPr>
          <w:p w14:paraId="2682941C"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31.71</w:t>
            </w:r>
          </w:p>
        </w:tc>
        <w:tc>
          <w:tcPr>
            <w:tcW w:w="0" w:type="auto"/>
            <w:tcBorders>
              <w:top w:val="single" w:sz="4" w:space="0" w:color="auto"/>
            </w:tcBorders>
            <w:shd w:val="clear" w:color="auto" w:fill="auto"/>
            <w:noWrap/>
            <w:vAlign w:val="bottom"/>
            <w:hideMark/>
          </w:tcPr>
          <w:p w14:paraId="7A78B4CF"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0.40</w:t>
            </w:r>
          </w:p>
        </w:tc>
        <w:tc>
          <w:tcPr>
            <w:tcW w:w="0" w:type="auto"/>
            <w:tcBorders>
              <w:top w:val="single" w:sz="4" w:space="0" w:color="auto"/>
            </w:tcBorders>
            <w:shd w:val="clear" w:color="auto" w:fill="auto"/>
            <w:noWrap/>
            <w:vAlign w:val="bottom"/>
            <w:hideMark/>
          </w:tcPr>
          <w:p w14:paraId="03BD63B6"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67.89</w:t>
            </w:r>
          </w:p>
        </w:tc>
        <w:tc>
          <w:tcPr>
            <w:tcW w:w="0" w:type="auto"/>
            <w:tcBorders>
              <w:top w:val="single" w:sz="4" w:space="0" w:color="auto"/>
            </w:tcBorders>
            <w:shd w:val="clear" w:color="auto" w:fill="auto"/>
            <w:noWrap/>
            <w:vAlign w:val="bottom"/>
            <w:hideMark/>
          </w:tcPr>
          <w:p w14:paraId="13A6EFFF"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0.00</w:t>
            </w:r>
          </w:p>
        </w:tc>
      </w:tr>
      <w:tr w:rsidR="00CC30C3" w:rsidRPr="00142357" w14:paraId="68F8A389" w14:textId="77777777" w:rsidTr="00244EF8">
        <w:trPr>
          <w:trHeight w:val="300"/>
        </w:trPr>
        <w:tc>
          <w:tcPr>
            <w:tcW w:w="733" w:type="dxa"/>
            <w:shd w:val="clear" w:color="auto" w:fill="auto"/>
            <w:noWrap/>
            <w:vAlign w:val="bottom"/>
            <w:hideMark/>
          </w:tcPr>
          <w:p w14:paraId="774C2CF2" w14:textId="47749606"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4</w:t>
            </w:r>
          </w:p>
        </w:tc>
        <w:tc>
          <w:tcPr>
            <w:tcW w:w="629" w:type="dxa"/>
            <w:shd w:val="clear" w:color="auto" w:fill="auto"/>
            <w:noWrap/>
            <w:vAlign w:val="bottom"/>
            <w:hideMark/>
          </w:tcPr>
          <w:p w14:paraId="406527D7"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97.57</w:t>
            </w:r>
          </w:p>
        </w:tc>
        <w:tc>
          <w:tcPr>
            <w:tcW w:w="0" w:type="auto"/>
            <w:shd w:val="clear" w:color="auto" w:fill="auto"/>
            <w:noWrap/>
            <w:vAlign w:val="bottom"/>
            <w:hideMark/>
          </w:tcPr>
          <w:p w14:paraId="03B63A8D"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1.46</w:t>
            </w:r>
          </w:p>
        </w:tc>
        <w:tc>
          <w:tcPr>
            <w:tcW w:w="0" w:type="auto"/>
            <w:shd w:val="clear" w:color="auto" w:fill="auto"/>
            <w:noWrap/>
            <w:vAlign w:val="bottom"/>
            <w:hideMark/>
          </w:tcPr>
          <w:p w14:paraId="00F0E5BA"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0.38</w:t>
            </w:r>
          </w:p>
        </w:tc>
        <w:tc>
          <w:tcPr>
            <w:tcW w:w="0" w:type="auto"/>
            <w:shd w:val="clear" w:color="auto" w:fill="auto"/>
            <w:noWrap/>
            <w:vAlign w:val="bottom"/>
            <w:hideMark/>
          </w:tcPr>
          <w:p w14:paraId="34A9D462"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0.58</w:t>
            </w:r>
          </w:p>
        </w:tc>
        <w:tc>
          <w:tcPr>
            <w:tcW w:w="694" w:type="dxa"/>
            <w:shd w:val="clear" w:color="auto" w:fill="auto"/>
            <w:noWrap/>
            <w:vAlign w:val="bottom"/>
            <w:hideMark/>
          </w:tcPr>
          <w:p w14:paraId="7540F84C" w14:textId="623A4DEB"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4</w:t>
            </w:r>
          </w:p>
        </w:tc>
        <w:tc>
          <w:tcPr>
            <w:tcW w:w="629" w:type="dxa"/>
            <w:shd w:val="clear" w:color="auto" w:fill="auto"/>
            <w:noWrap/>
            <w:vAlign w:val="bottom"/>
            <w:hideMark/>
          </w:tcPr>
          <w:p w14:paraId="58826508"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32.84</w:t>
            </w:r>
          </w:p>
        </w:tc>
        <w:tc>
          <w:tcPr>
            <w:tcW w:w="0" w:type="auto"/>
            <w:shd w:val="clear" w:color="auto" w:fill="auto"/>
            <w:noWrap/>
            <w:vAlign w:val="bottom"/>
            <w:hideMark/>
          </w:tcPr>
          <w:p w14:paraId="1D6AD3A0"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1.38</w:t>
            </w:r>
          </w:p>
        </w:tc>
        <w:tc>
          <w:tcPr>
            <w:tcW w:w="0" w:type="auto"/>
            <w:shd w:val="clear" w:color="auto" w:fill="auto"/>
            <w:noWrap/>
            <w:vAlign w:val="bottom"/>
            <w:hideMark/>
          </w:tcPr>
          <w:p w14:paraId="2645744C"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65.76</w:t>
            </w:r>
          </w:p>
        </w:tc>
        <w:tc>
          <w:tcPr>
            <w:tcW w:w="0" w:type="auto"/>
            <w:shd w:val="clear" w:color="auto" w:fill="auto"/>
            <w:noWrap/>
            <w:vAlign w:val="bottom"/>
            <w:hideMark/>
          </w:tcPr>
          <w:p w14:paraId="518B52E9"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0.01</w:t>
            </w:r>
          </w:p>
        </w:tc>
      </w:tr>
      <w:tr w:rsidR="00CC30C3" w:rsidRPr="00142357" w14:paraId="221E05D3" w14:textId="77777777" w:rsidTr="00244EF8">
        <w:trPr>
          <w:trHeight w:val="300"/>
        </w:trPr>
        <w:tc>
          <w:tcPr>
            <w:tcW w:w="733" w:type="dxa"/>
            <w:shd w:val="clear" w:color="auto" w:fill="auto"/>
            <w:noWrap/>
            <w:vAlign w:val="bottom"/>
            <w:hideMark/>
          </w:tcPr>
          <w:p w14:paraId="07FC3383" w14:textId="6218400C"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12</w:t>
            </w:r>
          </w:p>
        </w:tc>
        <w:tc>
          <w:tcPr>
            <w:tcW w:w="629" w:type="dxa"/>
            <w:shd w:val="clear" w:color="auto" w:fill="auto"/>
            <w:noWrap/>
            <w:vAlign w:val="bottom"/>
            <w:hideMark/>
          </w:tcPr>
          <w:p w14:paraId="7150ECFF"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76.24</w:t>
            </w:r>
          </w:p>
        </w:tc>
        <w:tc>
          <w:tcPr>
            <w:tcW w:w="0" w:type="auto"/>
            <w:shd w:val="clear" w:color="auto" w:fill="auto"/>
            <w:noWrap/>
            <w:vAlign w:val="bottom"/>
            <w:hideMark/>
          </w:tcPr>
          <w:p w14:paraId="48A0EC9F"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18.05</w:t>
            </w:r>
          </w:p>
        </w:tc>
        <w:tc>
          <w:tcPr>
            <w:tcW w:w="0" w:type="auto"/>
            <w:shd w:val="clear" w:color="auto" w:fill="auto"/>
            <w:noWrap/>
            <w:vAlign w:val="bottom"/>
            <w:hideMark/>
          </w:tcPr>
          <w:p w14:paraId="60A25E82"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4.33</w:t>
            </w:r>
          </w:p>
        </w:tc>
        <w:tc>
          <w:tcPr>
            <w:tcW w:w="0" w:type="auto"/>
            <w:shd w:val="clear" w:color="auto" w:fill="auto"/>
            <w:noWrap/>
            <w:vAlign w:val="bottom"/>
            <w:hideMark/>
          </w:tcPr>
          <w:p w14:paraId="50109DC2"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1.38</w:t>
            </w:r>
          </w:p>
        </w:tc>
        <w:tc>
          <w:tcPr>
            <w:tcW w:w="694" w:type="dxa"/>
            <w:shd w:val="clear" w:color="auto" w:fill="auto"/>
            <w:noWrap/>
            <w:vAlign w:val="bottom"/>
            <w:hideMark/>
          </w:tcPr>
          <w:p w14:paraId="78ACF8CF" w14:textId="27D01D82"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12</w:t>
            </w:r>
          </w:p>
        </w:tc>
        <w:tc>
          <w:tcPr>
            <w:tcW w:w="629" w:type="dxa"/>
            <w:shd w:val="clear" w:color="auto" w:fill="auto"/>
            <w:noWrap/>
            <w:vAlign w:val="bottom"/>
            <w:hideMark/>
          </w:tcPr>
          <w:p w14:paraId="1ED22280"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19.04</w:t>
            </w:r>
          </w:p>
        </w:tc>
        <w:tc>
          <w:tcPr>
            <w:tcW w:w="0" w:type="auto"/>
            <w:shd w:val="clear" w:color="auto" w:fill="auto"/>
            <w:noWrap/>
            <w:vAlign w:val="bottom"/>
            <w:hideMark/>
          </w:tcPr>
          <w:p w14:paraId="7E82415E"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7.11</w:t>
            </w:r>
          </w:p>
        </w:tc>
        <w:tc>
          <w:tcPr>
            <w:tcW w:w="0" w:type="auto"/>
            <w:shd w:val="clear" w:color="auto" w:fill="auto"/>
            <w:noWrap/>
            <w:vAlign w:val="bottom"/>
            <w:hideMark/>
          </w:tcPr>
          <w:p w14:paraId="6612AE2E"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73.84</w:t>
            </w:r>
          </w:p>
        </w:tc>
        <w:tc>
          <w:tcPr>
            <w:tcW w:w="0" w:type="auto"/>
            <w:shd w:val="clear" w:color="auto" w:fill="auto"/>
            <w:noWrap/>
            <w:vAlign w:val="bottom"/>
            <w:hideMark/>
          </w:tcPr>
          <w:p w14:paraId="75B0FE70"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0.01</w:t>
            </w:r>
          </w:p>
        </w:tc>
      </w:tr>
      <w:tr w:rsidR="00CC30C3" w:rsidRPr="00142357" w14:paraId="7FA0E4FC" w14:textId="77777777" w:rsidTr="00244EF8">
        <w:trPr>
          <w:trHeight w:val="300"/>
        </w:trPr>
        <w:tc>
          <w:tcPr>
            <w:tcW w:w="733" w:type="dxa"/>
            <w:shd w:val="clear" w:color="auto" w:fill="auto"/>
            <w:noWrap/>
            <w:vAlign w:val="bottom"/>
            <w:hideMark/>
          </w:tcPr>
          <w:p w14:paraId="414644DC" w14:textId="34D05672"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21</w:t>
            </w:r>
          </w:p>
        </w:tc>
        <w:tc>
          <w:tcPr>
            <w:tcW w:w="629" w:type="dxa"/>
            <w:shd w:val="clear" w:color="auto" w:fill="auto"/>
            <w:noWrap/>
            <w:vAlign w:val="bottom"/>
            <w:hideMark/>
          </w:tcPr>
          <w:p w14:paraId="3FCC9173"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52.27</w:t>
            </w:r>
          </w:p>
        </w:tc>
        <w:tc>
          <w:tcPr>
            <w:tcW w:w="0" w:type="auto"/>
            <w:shd w:val="clear" w:color="auto" w:fill="auto"/>
            <w:noWrap/>
            <w:vAlign w:val="bottom"/>
            <w:hideMark/>
          </w:tcPr>
          <w:p w14:paraId="25F4C757"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37.14</w:t>
            </w:r>
          </w:p>
        </w:tc>
        <w:tc>
          <w:tcPr>
            <w:tcW w:w="0" w:type="auto"/>
            <w:shd w:val="clear" w:color="auto" w:fill="auto"/>
            <w:noWrap/>
            <w:vAlign w:val="bottom"/>
            <w:hideMark/>
          </w:tcPr>
          <w:p w14:paraId="3A9010EC"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8.78</w:t>
            </w:r>
          </w:p>
        </w:tc>
        <w:tc>
          <w:tcPr>
            <w:tcW w:w="0" w:type="auto"/>
            <w:shd w:val="clear" w:color="auto" w:fill="auto"/>
            <w:noWrap/>
            <w:vAlign w:val="bottom"/>
            <w:hideMark/>
          </w:tcPr>
          <w:p w14:paraId="43E6100A"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1.81</w:t>
            </w:r>
          </w:p>
        </w:tc>
        <w:tc>
          <w:tcPr>
            <w:tcW w:w="694" w:type="dxa"/>
            <w:shd w:val="clear" w:color="auto" w:fill="auto"/>
            <w:noWrap/>
            <w:vAlign w:val="bottom"/>
            <w:hideMark/>
          </w:tcPr>
          <w:p w14:paraId="766EA088" w14:textId="79D7B165"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21</w:t>
            </w:r>
          </w:p>
        </w:tc>
        <w:tc>
          <w:tcPr>
            <w:tcW w:w="629" w:type="dxa"/>
            <w:shd w:val="clear" w:color="auto" w:fill="auto"/>
            <w:noWrap/>
            <w:vAlign w:val="bottom"/>
            <w:hideMark/>
          </w:tcPr>
          <w:p w14:paraId="0D117327"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11.68</w:t>
            </w:r>
          </w:p>
        </w:tc>
        <w:tc>
          <w:tcPr>
            <w:tcW w:w="0" w:type="auto"/>
            <w:shd w:val="clear" w:color="auto" w:fill="auto"/>
            <w:noWrap/>
            <w:vAlign w:val="bottom"/>
            <w:hideMark/>
          </w:tcPr>
          <w:p w14:paraId="717B4873"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12.07</w:t>
            </w:r>
          </w:p>
        </w:tc>
        <w:tc>
          <w:tcPr>
            <w:tcW w:w="0" w:type="auto"/>
            <w:shd w:val="clear" w:color="auto" w:fill="auto"/>
            <w:noWrap/>
            <w:vAlign w:val="bottom"/>
            <w:hideMark/>
          </w:tcPr>
          <w:p w14:paraId="21976734"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76.23</w:t>
            </w:r>
          </w:p>
        </w:tc>
        <w:tc>
          <w:tcPr>
            <w:tcW w:w="0" w:type="auto"/>
            <w:shd w:val="clear" w:color="auto" w:fill="auto"/>
            <w:noWrap/>
            <w:vAlign w:val="bottom"/>
            <w:hideMark/>
          </w:tcPr>
          <w:p w14:paraId="485F0072"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0.02</w:t>
            </w:r>
          </w:p>
        </w:tc>
      </w:tr>
      <w:tr w:rsidR="00CC30C3" w:rsidRPr="00142357" w14:paraId="1D5E10A2" w14:textId="77777777" w:rsidTr="00244EF8">
        <w:trPr>
          <w:trHeight w:val="300"/>
        </w:trPr>
        <w:tc>
          <w:tcPr>
            <w:tcW w:w="733" w:type="dxa"/>
            <w:tcBorders>
              <w:bottom w:val="single" w:sz="4" w:space="0" w:color="auto"/>
            </w:tcBorders>
            <w:shd w:val="clear" w:color="auto" w:fill="auto"/>
            <w:noWrap/>
            <w:vAlign w:val="bottom"/>
            <w:hideMark/>
          </w:tcPr>
          <w:p w14:paraId="1EA3B8F7" w14:textId="262AD059"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52</w:t>
            </w:r>
          </w:p>
        </w:tc>
        <w:tc>
          <w:tcPr>
            <w:tcW w:w="629" w:type="dxa"/>
            <w:tcBorders>
              <w:bottom w:val="single" w:sz="4" w:space="0" w:color="auto"/>
            </w:tcBorders>
            <w:shd w:val="clear" w:color="auto" w:fill="auto"/>
            <w:noWrap/>
            <w:vAlign w:val="bottom"/>
            <w:hideMark/>
          </w:tcPr>
          <w:p w14:paraId="09FBA3F7"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22.49</w:t>
            </w:r>
          </w:p>
        </w:tc>
        <w:tc>
          <w:tcPr>
            <w:tcW w:w="0" w:type="auto"/>
            <w:tcBorders>
              <w:bottom w:val="single" w:sz="4" w:space="0" w:color="auto"/>
            </w:tcBorders>
            <w:shd w:val="clear" w:color="auto" w:fill="auto"/>
            <w:noWrap/>
            <w:vAlign w:val="bottom"/>
            <w:hideMark/>
          </w:tcPr>
          <w:p w14:paraId="15CDF21B"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61.08</w:t>
            </w:r>
          </w:p>
        </w:tc>
        <w:tc>
          <w:tcPr>
            <w:tcW w:w="0" w:type="auto"/>
            <w:tcBorders>
              <w:bottom w:val="single" w:sz="4" w:space="0" w:color="auto"/>
            </w:tcBorders>
            <w:shd w:val="clear" w:color="auto" w:fill="auto"/>
            <w:noWrap/>
            <w:vAlign w:val="bottom"/>
            <w:hideMark/>
          </w:tcPr>
          <w:p w14:paraId="18CDB234"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14.31</w:t>
            </w:r>
          </w:p>
        </w:tc>
        <w:tc>
          <w:tcPr>
            <w:tcW w:w="0" w:type="auto"/>
            <w:tcBorders>
              <w:bottom w:val="single" w:sz="4" w:space="0" w:color="auto"/>
            </w:tcBorders>
            <w:shd w:val="clear" w:color="auto" w:fill="auto"/>
            <w:noWrap/>
            <w:vAlign w:val="bottom"/>
            <w:hideMark/>
          </w:tcPr>
          <w:p w14:paraId="263A37CE"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2.11</w:t>
            </w:r>
          </w:p>
        </w:tc>
        <w:tc>
          <w:tcPr>
            <w:tcW w:w="694" w:type="dxa"/>
            <w:tcBorders>
              <w:bottom w:val="single" w:sz="4" w:space="0" w:color="auto"/>
            </w:tcBorders>
            <w:shd w:val="clear" w:color="auto" w:fill="auto"/>
            <w:noWrap/>
            <w:vAlign w:val="bottom"/>
            <w:hideMark/>
          </w:tcPr>
          <w:p w14:paraId="59BBFF34" w14:textId="1CE50DBB"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52</w:t>
            </w:r>
          </w:p>
        </w:tc>
        <w:tc>
          <w:tcPr>
            <w:tcW w:w="629" w:type="dxa"/>
            <w:tcBorders>
              <w:bottom w:val="single" w:sz="4" w:space="0" w:color="auto"/>
            </w:tcBorders>
            <w:shd w:val="clear" w:color="auto" w:fill="auto"/>
            <w:noWrap/>
            <w:vAlign w:val="bottom"/>
            <w:hideMark/>
          </w:tcPr>
          <w:p w14:paraId="1C3A639B"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4.81</w:t>
            </w:r>
          </w:p>
        </w:tc>
        <w:tc>
          <w:tcPr>
            <w:tcW w:w="0" w:type="auto"/>
            <w:tcBorders>
              <w:bottom w:val="single" w:sz="4" w:space="0" w:color="auto"/>
            </w:tcBorders>
            <w:shd w:val="clear" w:color="auto" w:fill="auto"/>
            <w:noWrap/>
            <w:vAlign w:val="bottom"/>
            <w:hideMark/>
          </w:tcPr>
          <w:p w14:paraId="070BF280"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18.32</w:t>
            </w:r>
          </w:p>
        </w:tc>
        <w:tc>
          <w:tcPr>
            <w:tcW w:w="0" w:type="auto"/>
            <w:tcBorders>
              <w:bottom w:val="single" w:sz="4" w:space="0" w:color="auto"/>
            </w:tcBorders>
            <w:shd w:val="clear" w:color="auto" w:fill="auto"/>
            <w:noWrap/>
            <w:vAlign w:val="bottom"/>
            <w:hideMark/>
          </w:tcPr>
          <w:p w14:paraId="7062CD06"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76.84</w:t>
            </w:r>
          </w:p>
        </w:tc>
        <w:tc>
          <w:tcPr>
            <w:tcW w:w="0" w:type="auto"/>
            <w:tcBorders>
              <w:bottom w:val="single" w:sz="4" w:space="0" w:color="auto"/>
            </w:tcBorders>
            <w:shd w:val="clear" w:color="auto" w:fill="auto"/>
            <w:noWrap/>
            <w:vAlign w:val="bottom"/>
            <w:hideMark/>
          </w:tcPr>
          <w:p w14:paraId="196045AF"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0.03</w:t>
            </w:r>
          </w:p>
        </w:tc>
      </w:tr>
      <w:tr w:rsidR="00244EF8" w:rsidRPr="00142357" w14:paraId="34062076" w14:textId="77777777" w:rsidTr="00244EF8">
        <w:trPr>
          <w:trHeight w:val="300"/>
        </w:trPr>
        <w:tc>
          <w:tcPr>
            <w:tcW w:w="0" w:type="auto"/>
            <w:gridSpan w:val="5"/>
            <w:tcBorders>
              <w:top w:val="single" w:sz="4" w:space="0" w:color="auto"/>
              <w:bottom w:val="single" w:sz="4" w:space="0" w:color="auto"/>
            </w:tcBorders>
            <w:shd w:val="clear" w:color="auto" w:fill="auto"/>
            <w:noWrap/>
            <w:vAlign w:val="bottom"/>
            <w:hideMark/>
          </w:tcPr>
          <w:p w14:paraId="30D883D7" w14:textId="70E5A17A"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Variance Decomposition of LPK:</w:t>
            </w:r>
          </w:p>
        </w:tc>
        <w:tc>
          <w:tcPr>
            <w:tcW w:w="0" w:type="auto"/>
            <w:gridSpan w:val="5"/>
            <w:tcBorders>
              <w:top w:val="single" w:sz="4" w:space="0" w:color="auto"/>
              <w:bottom w:val="single" w:sz="4" w:space="0" w:color="auto"/>
            </w:tcBorders>
            <w:shd w:val="clear" w:color="auto" w:fill="auto"/>
            <w:noWrap/>
            <w:vAlign w:val="bottom"/>
            <w:hideMark/>
          </w:tcPr>
          <w:p w14:paraId="16BB8C68" w14:textId="71AC0FC3"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Variance Decomposition of LCN:</w:t>
            </w:r>
          </w:p>
        </w:tc>
      </w:tr>
      <w:tr w:rsidR="00CC30C3" w:rsidRPr="00142357" w14:paraId="6CCC41CE" w14:textId="77777777" w:rsidTr="00244EF8">
        <w:trPr>
          <w:trHeight w:val="1028"/>
        </w:trPr>
        <w:tc>
          <w:tcPr>
            <w:tcW w:w="733" w:type="dxa"/>
            <w:tcBorders>
              <w:top w:val="single" w:sz="4" w:space="0" w:color="auto"/>
              <w:bottom w:val="single" w:sz="4" w:space="0" w:color="auto"/>
            </w:tcBorders>
            <w:shd w:val="clear" w:color="auto" w:fill="auto"/>
            <w:noWrap/>
            <w:vAlign w:val="center"/>
            <w:hideMark/>
          </w:tcPr>
          <w:p w14:paraId="40C04CB9" w14:textId="6C4131E9" w:rsidR="00CC30C3" w:rsidRPr="00142357" w:rsidRDefault="00CC30C3" w:rsidP="009E6088">
            <w:pPr>
              <w:spacing w:after="0" w:line="240" w:lineRule="auto"/>
              <w:rPr>
                <w:rFonts w:eastAsia="Times New Roman" w:cs="Times New Roman"/>
                <w:color w:val="000000"/>
                <w:sz w:val="20"/>
                <w:szCs w:val="20"/>
              </w:rPr>
            </w:pPr>
          </w:p>
        </w:tc>
        <w:tc>
          <w:tcPr>
            <w:tcW w:w="2383" w:type="dxa"/>
            <w:gridSpan w:val="4"/>
            <w:tcBorders>
              <w:top w:val="single" w:sz="4" w:space="0" w:color="auto"/>
              <w:bottom w:val="single" w:sz="4" w:space="0" w:color="auto"/>
            </w:tcBorders>
            <w:shd w:val="clear" w:color="auto" w:fill="auto"/>
            <w:vAlign w:val="center"/>
          </w:tcPr>
          <w:p w14:paraId="3CCD0EB1" w14:textId="77097451" w:rsidR="00CC30C3" w:rsidRPr="00142357" w:rsidRDefault="00CC30C3" w:rsidP="009E6088">
            <w:pPr>
              <w:spacing w:after="0" w:line="240" w:lineRule="auto"/>
              <w:rPr>
                <w:rFonts w:eastAsia="Times New Roman" w:cs="Times New Roman"/>
                <w:color w:val="000000"/>
                <w:sz w:val="20"/>
                <w:szCs w:val="20"/>
              </w:rPr>
            </w:pPr>
            <w:r w:rsidRPr="00142357">
              <w:rPr>
                <w:rFonts w:eastAsia="Times New Roman" w:cs="Times New Roman"/>
                <w:color w:val="000000"/>
                <w:sz w:val="20"/>
                <w:szCs w:val="20"/>
              </w:rPr>
              <w:t>% of forecasted variance which is described by changes in</w:t>
            </w:r>
          </w:p>
        </w:tc>
        <w:tc>
          <w:tcPr>
            <w:tcW w:w="694" w:type="dxa"/>
            <w:tcBorders>
              <w:top w:val="single" w:sz="4" w:space="0" w:color="auto"/>
              <w:bottom w:val="single" w:sz="4" w:space="0" w:color="auto"/>
            </w:tcBorders>
            <w:shd w:val="clear" w:color="auto" w:fill="auto"/>
            <w:noWrap/>
            <w:vAlign w:val="center"/>
            <w:hideMark/>
          </w:tcPr>
          <w:p w14:paraId="38CD9CD3" w14:textId="45BF67D3" w:rsidR="00CC30C3" w:rsidRPr="00142357" w:rsidRDefault="00CC30C3" w:rsidP="009E6088">
            <w:pPr>
              <w:spacing w:after="0" w:line="240" w:lineRule="auto"/>
              <w:rPr>
                <w:rFonts w:eastAsia="Times New Roman" w:cs="Times New Roman"/>
                <w:color w:val="000000"/>
                <w:sz w:val="20"/>
                <w:szCs w:val="20"/>
              </w:rPr>
            </w:pPr>
          </w:p>
        </w:tc>
        <w:tc>
          <w:tcPr>
            <w:tcW w:w="2462" w:type="dxa"/>
            <w:gridSpan w:val="4"/>
            <w:tcBorders>
              <w:top w:val="single" w:sz="4" w:space="0" w:color="auto"/>
              <w:bottom w:val="single" w:sz="4" w:space="0" w:color="auto"/>
            </w:tcBorders>
            <w:shd w:val="clear" w:color="auto" w:fill="auto"/>
            <w:vAlign w:val="center"/>
          </w:tcPr>
          <w:p w14:paraId="05B43119" w14:textId="56313510" w:rsidR="00CC30C3" w:rsidRPr="00142357" w:rsidRDefault="00CC30C3" w:rsidP="009E6088">
            <w:pPr>
              <w:spacing w:after="0" w:line="240" w:lineRule="auto"/>
              <w:rPr>
                <w:rFonts w:eastAsia="Times New Roman" w:cs="Times New Roman"/>
                <w:color w:val="000000"/>
                <w:sz w:val="20"/>
                <w:szCs w:val="20"/>
              </w:rPr>
            </w:pPr>
            <w:r w:rsidRPr="00142357">
              <w:rPr>
                <w:rFonts w:eastAsia="Times New Roman" w:cs="Times New Roman"/>
                <w:color w:val="000000"/>
                <w:sz w:val="20"/>
                <w:szCs w:val="20"/>
              </w:rPr>
              <w:t>% of forecasted variance which is described by changes in</w:t>
            </w:r>
          </w:p>
        </w:tc>
      </w:tr>
      <w:tr w:rsidR="00244EF8" w:rsidRPr="00CC30C3" w14:paraId="4FB398E6" w14:textId="77777777" w:rsidTr="00B52FD9">
        <w:trPr>
          <w:trHeight w:val="300"/>
        </w:trPr>
        <w:tc>
          <w:tcPr>
            <w:tcW w:w="733" w:type="dxa"/>
            <w:tcBorders>
              <w:top w:val="single" w:sz="4" w:space="0" w:color="auto"/>
            </w:tcBorders>
            <w:shd w:val="clear" w:color="auto" w:fill="auto"/>
            <w:noWrap/>
            <w:hideMark/>
          </w:tcPr>
          <w:p w14:paraId="5C581FEB" w14:textId="1C24AAF6" w:rsidR="00E50B8C" w:rsidRPr="00244EF8" w:rsidRDefault="00E50B8C" w:rsidP="009E6088">
            <w:pPr>
              <w:spacing w:after="0" w:line="240" w:lineRule="auto"/>
              <w:rPr>
                <w:rFonts w:eastAsia="Times New Roman" w:cs="Times New Roman"/>
                <w:color w:val="000000"/>
                <w:sz w:val="17"/>
                <w:szCs w:val="17"/>
              </w:rPr>
            </w:pPr>
            <w:r w:rsidRPr="00244EF8">
              <w:rPr>
                <w:rFonts w:eastAsia="Times New Roman" w:cs="Times New Roman"/>
                <w:color w:val="000000"/>
                <w:sz w:val="17"/>
                <w:szCs w:val="17"/>
              </w:rPr>
              <w:t>Period</w:t>
            </w:r>
          </w:p>
        </w:tc>
        <w:tc>
          <w:tcPr>
            <w:tcW w:w="629" w:type="dxa"/>
            <w:tcBorders>
              <w:top w:val="single" w:sz="4" w:space="0" w:color="auto"/>
            </w:tcBorders>
            <w:shd w:val="clear" w:color="auto" w:fill="auto"/>
            <w:noWrap/>
            <w:hideMark/>
          </w:tcPr>
          <w:p w14:paraId="3BCD4F31" w14:textId="77777777" w:rsidR="00E50B8C" w:rsidRPr="00244EF8" w:rsidRDefault="00E50B8C" w:rsidP="009E6088">
            <w:pPr>
              <w:spacing w:after="0" w:line="240" w:lineRule="auto"/>
              <w:rPr>
                <w:rFonts w:eastAsia="Times New Roman" w:cs="Times New Roman"/>
                <w:color w:val="000000"/>
                <w:sz w:val="18"/>
                <w:szCs w:val="18"/>
              </w:rPr>
            </w:pPr>
            <w:r w:rsidRPr="00244EF8">
              <w:rPr>
                <w:rFonts w:eastAsia="Times New Roman" w:cs="Times New Roman"/>
                <w:color w:val="000000"/>
                <w:sz w:val="18"/>
                <w:szCs w:val="18"/>
              </w:rPr>
              <w:t>LUSA</w:t>
            </w:r>
          </w:p>
        </w:tc>
        <w:tc>
          <w:tcPr>
            <w:tcW w:w="0" w:type="auto"/>
            <w:tcBorders>
              <w:top w:val="single" w:sz="4" w:space="0" w:color="auto"/>
            </w:tcBorders>
            <w:shd w:val="clear" w:color="auto" w:fill="auto"/>
            <w:noWrap/>
            <w:hideMark/>
          </w:tcPr>
          <w:p w14:paraId="4E63D5F4" w14:textId="77777777" w:rsidR="00E50B8C" w:rsidRPr="00244EF8" w:rsidRDefault="00E50B8C" w:rsidP="009E6088">
            <w:pPr>
              <w:spacing w:after="0" w:line="240" w:lineRule="auto"/>
              <w:rPr>
                <w:rFonts w:eastAsia="Times New Roman" w:cs="Times New Roman"/>
                <w:color w:val="000000"/>
                <w:sz w:val="18"/>
                <w:szCs w:val="18"/>
              </w:rPr>
            </w:pPr>
            <w:r w:rsidRPr="00244EF8">
              <w:rPr>
                <w:rFonts w:eastAsia="Times New Roman" w:cs="Times New Roman"/>
                <w:color w:val="000000"/>
                <w:sz w:val="18"/>
                <w:szCs w:val="18"/>
              </w:rPr>
              <w:t>LPK</w:t>
            </w:r>
          </w:p>
        </w:tc>
        <w:tc>
          <w:tcPr>
            <w:tcW w:w="0" w:type="auto"/>
            <w:tcBorders>
              <w:top w:val="single" w:sz="4" w:space="0" w:color="auto"/>
            </w:tcBorders>
            <w:shd w:val="clear" w:color="auto" w:fill="auto"/>
            <w:noWrap/>
            <w:hideMark/>
          </w:tcPr>
          <w:p w14:paraId="6713D299" w14:textId="77777777" w:rsidR="00E50B8C" w:rsidRPr="00244EF8" w:rsidRDefault="00E50B8C" w:rsidP="009E6088">
            <w:pPr>
              <w:spacing w:after="0" w:line="240" w:lineRule="auto"/>
              <w:rPr>
                <w:rFonts w:eastAsia="Times New Roman" w:cs="Times New Roman"/>
                <w:color w:val="000000"/>
                <w:sz w:val="18"/>
                <w:szCs w:val="18"/>
              </w:rPr>
            </w:pPr>
            <w:r w:rsidRPr="00244EF8">
              <w:rPr>
                <w:rFonts w:eastAsia="Times New Roman" w:cs="Times New Roman"/>
                <w:color w:val="000000"/>
                <w:sz w:val="18"/>
                <w:szCs w:val="18"/>
              </w:rPr>
              <w:t>LIND</w:t>
            </w:r>
          </w:p>
        </w:tc>
        <w:tc>
          <w:tcPr>
            <w:tcW w:w="0" w:type="auto"/>
            <w:tcBorders>
              <w:top w:val="single" w:sz="4" w:space="0" w:color="auto"/>
            </w:tcBorders>
            <w:shd w:val="clear" w:color="auto" w:fill="auto"/>
            <w:noWrap/>
            <w:hideMark/>
          </w:tcPr>
          <w:p w14:paraId="7E831311" w14:textId="77777777" w:rsidR="00E50B8C" w:rsidRPr="00244EF8" w:rsidRDefault="00E50B8C" w:rsidP="009E6088">
            <w:pPr>
              <w:spacing w:after="0" w:line="240" w:lineRule="auto"/>
              <w:rPr>
                <w:rFonts w:eastAsia="Times New Roman" w:cs="Times New Roman"/>
                <w:color w:val="000000"/>
                <w:sz w:val="18"/>
                <w:szCs w:val="18"/>
              </w:rPr>
            </w:pPr>
            <w:r w:rsidRPr="00244EF8">
              <w:rPr>
                <w:rFonts w:eastAsia="Times New Roman" w:cs="Times New Roman"/>
                <w:color w:val="000000"/>
                <w:sz w:val="18"/>
                <w:szCs w:val="18"/>
              </w:rPr>
              <w:t>LCN</w:t>
            </w:r>
          </w:p>
        </w:tc>
        <w:tc>
          <w:tcPr>
            <w:tcW w:w="694" w:type="dxa"/>
            <w:tcBorders>
              <w:top w:val="single" w:sz="4" w:space="0" w:color="auto"/>
            </w:tcBorders>
            <w:shd w:val="clear" w:color="auto" w:fill="auto"/>
            <w:noWrap/>
            <w:hideMark/>
          </w:tcPr>
          <w:p w14:paraId="68EBD72B" w14:textId="5AFED5EE" w:rsidR="00E50B8C" w:rsidRPr="00244EF8" w:rsidRDefault="00E50B8C" w:rsidP="009E6088">
            <w:pPr>
              <w:spacing w:after="0" w:line="240" w:lineRule="auto"/>
              <w:rPr>
                <w:rFonts w:eastAsia="Times New Roman" w:cs="Times New Roman"/>
                <w:color w:val="000000"/>
                <w:sz w:val="17"/>
                <w:szCs w:val="17"/>
              </w:rPr>
            </w:pPr>
            <w:r w:rsidRPr="00244EF8">
              <w:rPr>
                <w:rFonts w:eastAsia="Times New Roman" w:cs="Times New Roman"/>
                <w:color w:val="000000"/>
                <w:sz w:val="17"/>
                <w:szCs w:val="17"/>
              </w:rPr>
              <w:t>Period</w:t>
            </w:r>
          </w:p>
        </w:tc>
        <w:tc>
          <w:tcPr>
            <w:tcW w:w="629" w:type="dxa"/>
            <w:tcBorders>
              <w:top w:val="single" w:sz="4" w:space="0" w:color="auto"/>
            </w:tcBorders>
            <w:shd w:val="clear" w:color="auto" w:fill="auto"/>
            <w:noWrap/>
            <w:hideMark/>
          </w:tcPr>
          <w:p w14:paraId="3AAA7DFD" w14:textId="77777777" w:rsidR="00E50B8C" w:rsidRPr="00244EF8" w:rsidRDefault="00E50B8C" w:rsidP="009E6088">
            <w:pPr>
              <w:spacing w:after="0" w:line="240" w:lineRule="auto"/>
              <w:rPr>
                <w:rFonts w:eastAsia="Times New Roman" w:cs="Times New Roman"/>
                <w:color w:val="000000"/>
                <w:sz w:val="18"/>
                <w:szCs w:val="18"/>
              </w:rPr>
            </w:pPr>
            <w:r w:rsidRPr="00244EF8">
              <w:rPr>
                <w:rFonts w:eastAsia="Times New Roman" w:cs="Times New Roman"/>
                <w:color w:val="000000"/>
                <w:sz w:val="18"/>
                <w:szCs w:val="18"/>
              </w:rPr>
              <w:t>LUSA</w:t>
            </w:r>
          </w:p>
        </w:tc>
        <w:tc>
          <w:tcPr>
            <w:tcW w:w="0" w:type="auto"/>
            <w:tcBorders>
              <w:top w:val="single" w:sz="4" w:space="0" w:color="auto"/>
            </w:tcBorders>
            <w:shd w:val="clear" w:color="auto" w:fill="auto"/>
            <w:noWrap/>
            <w:hideMark/>
          </w:tcPr>
          <w:p w14:paraId="39B025EE" w14:textId="77777777" w:rsidR="00E50B8C" w:rsidRPr="00244EF8" w:rsidRDefault="00E50B8C" w:rsidP="009E6088">
            <w:pPr>
              <w:spacing w:after="0" w:line="240" w:lineRule="auto"/>
              <w:rPr>
                <w:rFonts w:eastAsia="Times New Roman" w:cs="Times New Roman"/>
                <w:color w:val="000000"/>
                <w:sz w:val="18"/>
                <w:szCs w:val="18"/>
              </w:rPr>
            </w:pPr>
            <w:r w:rsidRPr="00244EF8">
              <w:rPr>
                <w:rFonts w:eastAsia="Times New Roman" w:cs="Times New Roman"/>
                <w:color w:val="000000"/>
                <w:sz w:val="18"/>
                <w:szCs w:val="18"/>
              </w:rPr>
              <w:t>LPK</w:t>
            </w:r>
          </w:p>
        </w:tc>
        <w:tc>
          <w:tcPr>
            <w:tcW w:w="0" w:type="auto"/>
            <w:tcBorders>
              <w:top w:val="single" w:sz="4" w:space="0" w:color="auto"/>
            </w:tcBorders>
            <w:shd w:val="clear" w:color="auto" w:fill="auto"/>
            <w:noWrap/>
            <w:hideMark/>
          </w:tcPr>
          <w:p w14:paraId="35ABFF31" w14:textId="77777777" w:rsidR="00E50B8C" w:rsidRPr="00244EF8" w:rsidRDefault="00E50B8C" w:rsidP="009E6088">
            <w:pPr>
              <w:spacing w:after="0" w:line="240" w:lineRule="auto"/>
              <w:rPr>
                <w:rFonts w:eastAsia="Times New Roman" w:cs="Times New Roman"/>
                <w:color w:val="000000"/>
                <w:sz w:val="18"/>
                <w:szCs w:val="18"/>
              </w:rPr>
            </w:pPr>
            <w:r w:rsidRPr="00244EF8">
              <w:rPr>
                <w:rFonts w:eastAsia="Times New Roman" w:cs="Times New Roman"/>
                <w:color w:val="000000"/>
                <w:sz w:val="18"/>
                <w:szCs w:val="18"/>
              </w:rPr>
              <w:t>LIND</w:t>
            </w:r>
          </w:p>
        </w:tc>
        <w:tc>
          <w:tcPr>
            <w:tcW w:w="0" w:type="auto"/>
            <w:tcBorders>
              <w:top w:val="single" w:sz="4" w:space="0" w:color="auto"/>
            </w:tcBorders>
            <w:shd w:val="clear" w:color="auto" w:fill="auto"/>
            <w:noWrap/>
            <w:hideMark/>
          </w:tcPr>
          <w:p w14:paraId="2269CB93" w14:textId="77777777" w:rsidR="00E50B8C" w:rsidRPr="00244EF8" w:rsidRDefault="00E50B8C" w:rsidP="009E6088">
            <w:pPr>
              <w:spacing w:after="0" w:line="240" w:lineRule="auto"/>
              <w:rPr>
                <w:rFonts w:eastAsia="Times New Roman" w:cs="Times New Roman"/>
                <w:color w:val="000000"/>
                <w:sz w:val="18"/>
                <w:szCs w:val="18"/>
              </w:rPr>
            </w:pPr>
            <w:r w:rsidRPr="00244EF8">
              <w:rPr>
                <w:rFonts w:eastAsia="Times New Roman" w:cs="Times New Roman"/>
                <w:color w:val="000000"/>
                <w:sz w:val="18"/>
                <w:szCs w:val="18"/>
              </w:rPr>
              <w:t>LCN</w:t>
            </w:r>
          </w:p>
        </w:tc>
      </w:tr>
      <w:tr w:rsidR="00CC30C3" w:rsidRPr="00142357" w14:paraId="5D038C4E" w14:textId="77777777" w:rsidTr="00244EF8">
        <w:trPr>
          <w:trHeight w:val="300"/>
        </w:trPr>
        <w:tc>
          <w:tcPr>
            <w:tcW w:w="733" w:type="dxa"/>
            <w:shd w:val="clear" w:color="auto" w:fill="auto"/>
            <w:noWrap/>
            <w:vAlign w:val="bottom"/>
            <w:hideMark/>
          </w:tcPr>
          <w:p w14:paraId="14789A46" w14:textId="3B324FE7" w:rsidR="00E50B8C" w:rsidRPr="00244EF8" w:rsidRDefault="00E50B8C" w:rsidP="009E6088">
            <w:pPr>
              <w:spacing w:after="0" w:line="240" w:lineRule="auto"/>
              <w:jc w:val="both"/>
              <w:rPr>
                <w:rFonts w:eastAsia="Times New Roman" w:cs="Times New Roman"/>
                <w:color w:val="000000"/>
                <w:sz w:val="18"/>
                <w:szCs w:val="18"/>
              </w:rPr>
            </w:pPr>
            <w:r w:rsidRPr="00244EF8">
              <w:rPr>
                <w:rFonts w:eastAsia="Times New Roman" w:cs="Times New Roman"/>
                <w:color w:val="000000"/>
                <w:sz w:val="18"/>
                <w:szCs w:val="18"/>
              </w:rPr>
              <w:t>Week</w:t>
            </w:r>
          </w:p>
        </w:tc>
        <w:tc>
          <w:tcPr>
            <w:tcW w:w="629" w:type="dxa"/>
            <w:shd w:val="clear" w:color="auto" w:fill="auto"/>
            <w:noWrap/>
            <w:vAlign w:val="bottom"/>
            <w:hideMark/>
          </w:tcPr>
          <w:p w14:paraId="71C318F0" w14:textId="77777777" w:rsidR="00E50B8C" w:rsidRPr="00244EF8" w:rsidRDefault="00E50B8C" w:rsidP="009E6088">
            <w:pPr>
              <w:spacing w:after="0" w:line="240" w:lineRule="auto"/>
              <w:jc w:val="both"/>
              <w:rPr>
                <w:rFonts w:eastAsia="Times New Roman" w:cs="Times New Roman"/>
                <w:color w:val="000000"/>
                <w:sz w:val="18"/>
                <w:szCs w:val="18"/>
              </w:rPr>
            </w:pPr>
            <w:r w:rsidRPr="00244EF8">
              <w:rPr>
                <w:rFonts w:eastAsia="Times New Roman" w:cs="Times New Roman"/>
                <w:color w:val="000000"/>
                <w:sz w:val="18"/>
                <w:szCs w:val="18"/>
              </w:rPr>
              <w:t> </w:t>
            </w:r>
          </w:p>
        </w:tc>
        <w:tc>
          <w:tcPr>
            <w:tcW w:w="0" w:type="auto"/>
            <w:shd w:val="clear" w:color="auto" w:fill="auto"/>
            <w:noWrap/>
            <w:vAlign w:val="bottom"/>
            <w:hideMark/>
          </w:tcPr>
          <w:p w14:paraId="64A0A127" w14:textId="77777777" w:rsidR="00E50B8C" w:rsidRPr="00244EF8" w:rsidRDefault="00E50B8C" w:rsidP="009E6088">
            <w:pPr>
              <w:spacing w:after="0" w:line="240" w:lineRule="auto"/>
              <w:jc w:val="both"/>
              <w:rPr>
                <w:rFonts w:eastAsia="Times New Roman" w:cs="Times New Roman"/>
                <w:color w:val="000000"/>
                <w:sz w:val="18"/>
                <w:szCs w:val="18"/>
              </w:rPr>
            </w:pPr>
            <w:r w:rsidRPr="00244EF8">
              <w:rPr>
                <w:rFonts w:eastAsia="Times New Roman" w:cs="Times New Roman"/>
                <w:color w:val="000000"/>
                <w:sz w:val="18"/>
                <w:szCs w:val="18"/>
              </w:rPr>
              <w:t> </w:t>
            </w:r>
          </w:p>
        </w:tc>
        <w:tc>
          <w:tcPr>
            <w:tcW w:w="0" w:type="auto"/>
            <w:shd w:val="clear" w:color="auto" w:fill="auto"/>
            <w:noWrap/>
            <w:vAlign w:val="bottom"/>
            <w:hideMark/>
          </w:tcPr>
          <w:p w14:paraId="015339A7" w14:textId="77777777" w:rsidR="00E50B8C" w:rsidRPr="00244EF8" w:rsidRDefault="00E50B8C" w:rsidP="009E6088">
            <w:pPr>
              <w:spacing w:after="0" w:line="240" w:lineRule="auto"/>
              <w:jc w:val="both"/>
              <w:rPr>
                <w:rFonts w:eastAsia="Times New Roman" w:cs="Times New Roman"/>
                <w:color w:val="000000"/>
                <w:sz w:val="18"/>
                <w:szCs w:val="18"/>
              </w:rPr>
            </w:pPr>
            <w:r w:rsidRPr="00244EF8">
              <w:rPr>
                <w:rFonts w:eastAsia="Times New Roman" w:cs="Times New Roman"/>
                <w:color w:val="000000"/>
                <w:sz w:val="18"/>
                <w:szCs w:val="18"/>
              </w:rPr>
              <w:t> </w:t>
            </w:r>
          </w:p>
        </w:tc>
        <w:tc>
          <w:tcPr>
            <w:tcW w:w="0" w:type="auto"/>
            <w:shd w:val="clear" w:color="auto" w:fill="auto"/>
            <w:noWrap/>
            <w:vAlign w:val="bottom"/>
            <w:hideMark/>
          </w:tcPr>
          <w:p w14:paraId="70D75F08" w14:textId="77777777" w:rsidR="00E50B8C" w:rsidRPr="00244EF8" w:rsidRDefault="00E50B8C" w:rsidP="009E6088">
            <w:pPr>
              <w:spacing w:after="0" w:line="240" w:lineRule="auto"/>
              <w:jc w:val="both"/>
              <w:rPr>
                <w:rFonts w:eastAsia="Times New Roman" w:cs="Times New Roman"/>
                <w:color w:val="000000"/>
                <w:sz w:val="18"/>
                <w:szCs w:val="18"/>
              </w:rPr>
            </w:pPr>
            <w:r w:rsidRPr="00244EF8">
              <w:rPr>
                <w:rFonts w:eastAsia="Times New Roman" w:cs="Times New Roman"/>
                <w:color w:val="000000"/>
                <w:sz w:val="18"/>
                <w:szCs w:val="18"/>
              </w:rPr>
              <w:t> </w:t>
            </w:r>
          </w:p>
        </w:tc>
        <w:tc>
          <w:tcPr>
            <w:tcW w:w="694" w:type="dxa"/>
            <w:shd w:val="clear" w:color="auto" w:fill="auto"/>
            <w:noWrap/>
            <w:vAlign w:val="bottom"/>
            <w:hideMark/>
          </w:tcPr>
          <w:p w14:paraId="6D5C7FAE" w14:textId="1430333A" w:rsidR="00E50B8C" w:rsidRPr="00244EF8" w:rsidRDefault="00E50B8C" w:rsidP="009E6088">
            <w:pPr>
              <w:spacing w:after="0" w:line="240" w:lineRule="auto"/>
              <w:jc w:val="both"/>
              <w:rPr>
                <w:rFonts w:eastAsia="Times New Roman" w:cs="Times New Roman"/>
                <w:color w:val="000000"/>
                <w:sz w:val="18"/>
                <w:szCs w:val="18"/>
              </w:rPr>
            </w:pPr>
            <w:r w:rsidRPr="00244EF8">
              <w:rPr>
                <w:rFonts w:eastAsia="Times New Roman" w:cs="Times New Roman"/>
                <w:color w:val="000000"/>
                <w:sz w:val="18"/>
                <w:szCs w:val="18"/>
              </w:rPr>
              <w:t>Week</w:t>
            </w:r>
          </w:p>
        </w:tc>
        <w:tc>
          <w:tcPr>
            <w:tcW w:w="629" w:type="dxa"/>
            <w:shd w:val="clear" w:color="auto" w:fill="auto"/>
            <w:noWrap/>
            <w:vAlign w:val="bottom"/>
            <w:hideMark/>
          </w:tcPr>
          <w:p w14:paraId="109B2BA0" w14:textId="77777777" w:rsidR="00E50B8C" w:rsidRPr="00244EF8" w:rsidRDefault="00E50B8C" w:rsidP="009E6088">
            <w:pPr>
              <w:spacing w:after="0" w:line="240" w:lineRule="auto"/>
              <w:jc w:val="both"/>
              <w:rPr>
                <w:rFonts w:eastAsia="Times New Roman" w:cs="Times New Roman"/>
                <w:color w:val="000000"/>
                <w:sz w:val="18"/>
                <w:szCs w:val="18"/>
              </w:rPr>
            </w:pPr>
            <w:r w:rsidRPr="00244EF8">
              <w:rPr>
                <w:rFonts w:eastAsia="Times New Roman" w:cs="Times New Roman"/>
                <w:color w:val="000000"/>
                <w:sz w:val="18"/>
                <w:szCs w:val="18"/>
              </w:rPr>
              <w:t> </w:t>
            </w:r>
          </w:p>
        </w:tc>
        <w:tc>
          <w:tcPr>
            <w:tcW w:w="0" w:type="auto"/>
            <w:shd w:val="clear" w:color="auto" w:fill="auto"/>
            <w:noWrap/>
            <w:vAlign w:val="bottom"/>
            <w:hideMark/>
          </w:tcPr>
          <w:p w14:paraId="2BE564E1" w14:textId="77777777" w:rsidR="00E50B8C" w:rsidRPr="00244EF8" w:rsidRDefault="00E50B8C" w:rsidP="009E6088">
            <w:pPr>
              <w:spacing w:after="0" w:line="240" w:lineRule="auto"/>
              <w:jc w:val="both"/>
              <w:rPr>
                <w:rFonts w:eastAsia="Times New Roman" w:cs="Times New Roman"/>
                <w:color w:val="000000"/>
                <w:sz w:val="18"/>
                <w:szCs w:val="18"/>
              </w:rPr>
            </w:pPr>
            <w:r w:rsidRPr="00244EF8">
              <w:rPr>
                <w:rFonts w:eastAsia="Times New Roman" w:cs="Times New Roman"/>
                <w:color w:val="000000"/>
                <w:sz w:val="18"/>
                <w:szCs w:val="18"/>
              </w:rPr>
              <w:t> </w:t>
            </w:r>
          </w:p>
        </w:tc>
        <w:tc>
          <w:tcPr>
            <w:tcW w:w="0" w:type="auto"/>
            <w:shd w:val="clear" w:color="auto" w:fill="auto"/>
            <w:noWrap/>
            <w:vAlign w:val="bottom"/>
            <w:hideMark/>
          </w:tcPr>
          <w:p w14:paraId="1A5BD7B8" w14:textId="77777777" w:rsidR="00E50B8C" w:rsidRPr="00244EF8" w:rsidRDefault="00E50B8C" w:rsidP="009E6088">
            <w:pPr>
              <w:spacing w:after="0" w:line="240" w:lineRule="auto"/>
              <w:jc w:val="both"/>
              <w:rPr>
                <w:rFonts w:eastAsia="Times New Roman" w:cs="Times New Roman"/>
                <w:color w:val="000000"/>
                <w:sz w:val="18"/>
                <w:szCs w:val="18"/>
              </w:rPr>
            </w:pPr>
            <w:r w:rsidRPr="00244EF8">
              <w:rPr>
                <w:rFonts w:eastAsia="Times New Roman" w:cs="Times New Roman"/>
                <w:color w:val="000000"/>
                <w:sz w:val="18"/>
                <w:szCs w:val="18"/>
              </w:rPr>
              <w:t> </w:t>
            </w:r>
          </w:p>
        </w:tc>
        <w:tc>
          <w:tcPr>
            <w:tcW w:w="0" w:type="auto"/>
            <w:shd w:val="clear" w:color="auto" w:fill="auto"/>
            <w:noWrap/>
            <w:vAlign w:val="bottom"/>
            <w:hideMark/>
          </w:tcPr>
          <w:p w14:paraId="506F685D" w14:textId="77777777" w:rsidR="00E50B8C" w:rsidRPr="00244EF8" w:rsidRDefault="00E50B8C" w:rsidP="009E6088">
            <w:pPr>
              <w:spacing w:after="0" w:line="240" w:lineRule="auto"/>
              <w:jc w:val="both"/>
              <w:rPr>
                <w:rFonts w:eastAsia="Times New Roman" w:cs="Times New Roman"/>
                <w:color w:val="000000"/>
                <w:sz w:val="18"/>
                <w:szCs w:val="18"/>
              </w:rPr>
            </w:pPr>
            <w:r w:rsidRPr="00244EF8">
              <w:rPr>
                <w:rFonts w:eastAsia="Times New Roman" w:cs="Times New Roman"/>
                <w:color w:val="000000"/>
                <w:sz w:val="18"/>
                <w:szCs w:val="18"/>
              </w:rPr>
              <w:t> </w:t>
            </w:r>
          </w:p>
        </w:tc>
      </w:tr>
      <w:tr w:rsidR="00CC30C3" w:rsidRPr="00142357" w14:paraId="1891BC08" w14:textId="77777777" w:rsidTr="00244EF8">
        <w:trPr>
          <w:trHeight w:val="300"/>
        </w:trPr>
        <w:tc>
          <w:tcPr>
            <w:tcW w:w="733" w:type="dxa"/>
            <w:shd w:val="clear" w:color="auto" w:fill="auto"/>
            <w:noWrap/>
            <w:vAlign w:val="bottom"/>
            <w:hideMark/>
          </w:tcPr>
          <w:p w14:paraId="30FDA543" w14:textId="06D0CF54"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w:t>
            </w:r>
          </w:p>
        </w:tc>
        <w:tc>
          <w:tcPr>
            <w:tcW w:w="629" w:type="dxa"/>
            <w:shd w:val="clear" w:color="auto" w:fill="auto"/>
            <w:noWrap/>
            <w:vAlign w:val="bottom"/>
            <w:hideMark/>
          </w:tcPr>
          <w:p w14:paraId="0DB9D57B"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1.86</w:t>
            </w:r>
          </w:p>
        </w:tc>
        <w:tc>
          <w:tcPr>
            <w:tcW w:w="0" w:type="auto"/>
            <w:shd w:val="clear" w:color="auto" w:fill="auto"/>
            <w:noWrap/>
            <w:vAlign w:val="bottom"/>
            <w:hideMark/>
          </w:tcPr>
          <w:p w14:paraId="2D3F96DE"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98.14</w:t>
            </w:r>
          </w:p>
        </w:tc>
        <w:tc>
          <w:tcPr>
            <w:tcW w:w="0" w:type="auto"/>
            <w:shd w:val="clear" w:color="auto" w:fill="auto"/>
            <w:noWrap/>
            <w:vAlign w:val="bottom"/>
            <w:hideMark/>
          </w:tcPr>
          <w:p w14:paraId="7B8B8B8D"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0.00</w:t>
            </w:r>
          </w:p>
        </w:tc>
        <w:tc>
          <w:tcPr>
            <w:tcW w:w="0" w:type="auto"/>
            <w:shd w:val="clear" w:color="auto" w:fill="auto"/>
            <w:noWrap/>
            <w:vAlign w:val="bottom"/>
            <w:hideMark/>
          </w:tcPr>
          <w:p w14:paraId="33759650"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0.00</w:t>
            </w:r>
          </w:p>
        </w:tc>
        <w:tc>
          <w:tcPr>
            <w:tcW w:w="694" w:type="dxa"/>
            <w:shd w:val="clear" w:color="auto" w:fill="auto"/>
            <w:noWrap/>
            <w:vAlign w:val="bottom"/>
            <w:hideMark/>
          </w:tcPr>
          <w:p w14:paraId="55673A5B" w14:textId="3BFD5422"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w:t>
            </w:r>
          </w:p>
        </w:tc>
        <w:tc>
          <w:tcPr>
            <w:tcW w:w="629" w:type="dxa"/>
            <w:shd w:val="clear" w:color="auto" w:fill="auto"/>
            <w:noWrap/>
            <w:vAlign w:val="bottom"/>
            <w:hideMark/>
          </w:tcPr>
          <w:p w14:paraId="74368FDE"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2.56</w:t>
            </w:r>
          </w:p>
        </w:tc>
        <w:tc>
          <w:tcPr>
            <w:tcW w:w="0" w:type="auto"/>
            <w:shd w:val="clear" w:color="auto" w:fill="auto"/>
            <w:noWrap/>
            <w:vAlign w:val="bottom"/>
            <w:hideMark/>
          </w:tcPr>
          <w:p w14:paraId="6C3A3D8B"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0.60</w:t>
            </w:r>
          </w:p>
        </w:tc>
        <w:tc>
          <w:tcPr>
            <w:tcW w:w="0" w:type="auto"/>
            <w:shd w:val="clear" w:color="auto" w:fill="auto"/>
            <w:noWrap/>
            <w:vAlign w:val="bottom"/>
            <w:hideMark/>
          </w:tcPr>
          <w:p w14:paraId="1157EE1E"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0.25</w:t>
            </w:r>
          </w:p>
        </w:tc>
        <w:tc>
          <w:tcPr>
            <w:tcW w:w="0" w:type="auto"/>
            <w:shd w:val="clear" w:color="auto" w:fill="auto"/>
            <w:noWrap/>
            <w:vAlign w:val="bottom"/>
            <w:hideMark/>
          </w:tcPr>
          <w:p w14:paraId="7556A8AC"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96.59</w:t>
            </w:r>
          </w:p>
        </w:tc>
      </w:tr>
      <w:tr w:rsidR="00CC30C3" w:rsidRPr="00142357" w14:paraId="35CD5B6A" w14:textId="77777777" w:rsidTr="00244EF8">
        <w:trPr>
          <w:trHeight w:val="300"/>
        </w:trPr>
        <w:tc>
          <w:tcPr>
            <w:tcW w:w="733" w:type="dxa"/>
            <w:shd w:val="clear" w:color="auto" w:fill="auto"/>
            <w:noWrap/>
            <w:vAlign w:val="bottom"/>
            <w:hideMark/>
          </w:tcPr>
          <w:p w14:paraId="28C08607" w14:textId="2E9E99BA"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4</w:t>
            </w:r>
          </w:p>
        </w:tc>
        <w:tc>
          <w:tcPr>
            <w:tcW w:w="629" w:type="dxa"/>
            <w:shd w:val="clear" w:color="auto" w:fill="auto"/>
            <w:noWrap/>
            <w:vAlign w:val="bottom"/>
            <w:hideMark/>
          </w:tcPr>
          <w:p w14:paraId="7CE29654"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6.01</w:t>
            </w:r>
          </w:p>
        </w:tc>
        <w:tc>
          <w:tcPr>
            <w:tcW w:w="0" w:type="auto"/>
            <w:shd w:val="clear" w:color="auto" w:fill="auto"/>
            <w:noWrap/>
            <w:vAlign w:val="bottom"/>
            <w:hideMark/>
          </w:tcPr>
          <w:p w14:paraId="1BAE01EA"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93.92</w:t>
            </w:r>
          </w:p>
        </w:tc>
        <w:tc>
          <w:tcPr>
            <w:tcW w:w="0" w:type="auto"/>
            <w:shd w:val="clear" w:color="auto" w:fill="auto"/>
            <w:noWrap/>
            <w:vAlign w:val="bottom"/>
            <w:hideMark/>
          </w:tcPr>
          <w:p w14:paraId="7D8C28F9"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0.01</w:t>
            </w:r>
          </w:p>
        </w:tc>
        <w:tc>
          <w:tcPr>
            <w:tcW w:w="0" w:type="auto"/>
            <w:shd w:val="clear" w:color="auto" w:fill="auto"/>
            <w:noWrap/>
            <w:vAlign w:val="bottom"/>
            <w:hideMark/>
          </w:tcPr>
          <w:p w14:paraId="050CD6CA"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0.05</w:t>
            </w:r>
          </w:p>
        </w:tc>
        <w:tc>
          <w:tcPr>
            <w:tcW w:w="694" w:type="dxa"/>
            <w:shd w:val="clear" w:color="auto" w:fill="auto"/>
            <w:noWrap/>
            <w:vAlign w:val="bottom"/>
            <w:hideMark/>
          </w:tcPr>
          <w:p w14:paraId="02157D9E" w14:textId="1E716182"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4</w:t>
            </w:r>
          </w:p>
        </w:tc>
        <w:tc>
          <w:tcPr>
            <w:tcW w:w="629" w:type="dxa"/>
            <w:shd w:val="clear" w:color="auto" w:fill="auto"/>
            <w:noWrap/>
            <w:vAlign w:val="bottom"/>
            <w:hideMark/>
          </w:tcPr>
          <w:p w14:paraId="0D80C7EE"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5.81</w:t>
            </w:r>
          </w:p>
        </w:tc>
        <w:tc>
          <w:tcPr>
            <w:tcW w:w="0" w:type="auto"/>
            <w:shd w:val="clear" w:color="auto" w:fill="auto"/>
            <w:noWrap/>
            <w:vAlign w:val="bottom"/>
            <w:hideMark/>
          </w:tcPr>
          <w:p w14:paraId="2082AB6A"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2.03</w:t>
            </w:r>
          </w:p>
        </w:tc>
        <w:tc>
          <w:tcPr>
            <w:tcW w:w="0" w:type="auto"/>
            <w:shd w:val="clear" w:color="auto" w:fill="auto"/>
            <w:noWrap/>
            <w:vAlign w:val="bottom"/>
            <w:hideMark/>
          </w:tcPr>
          <w:p w14:paraId="4FF6C398"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0.90</w:t>
            </w:r>
          </w:p>
        </w:tc>
        <w:tc>
          <w:tcPr>
            <w:tcW w:w="0" w:type="auto"/>
            <w:shd w:val="clear" w:color="auto" w:fill="auto"/>
            <w:noWrap/>
            <w:vAlign w:val="bottom"/>
            <w:hideMark/>
          </w:tcPr>
          <w:p w14:paraId="48BA8000"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91.26</w:t>
            </w:r>
          </w:p>
        </w:tc>
      </w:tr>
      <w:tr w:rsidR="00CC30C3" w:rsidRPr="00142357" w14:paraId="72718E44" w14:textId="77777777" w:rsidTr="00244EF8">
        <w:trPr>
          <w:trHeight w:val="300"/>
        </w:trPr>
        <w:tc>
          <w:tcPr>
            <w:tcW w:w="733" w:type="dxa"/>
            <w:shd w:val="clear" w:color="auto" w:fill="auto"/>
            <w:noWrap/>
            <w:vAlign w:val="bottom"/>
            <w:hideMark/>
          </w:tcPr>
          <w:p w14:paraId="75938162" w14:textId="5BD62F74"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12</w:t>
            </w:r>
          </w:p>
        </w:tc>
        <w:tc>
          <w:tcPr>
            <w:tcW w:w="629" w:type="dxa"/>
            <w:shd w:val="clear" w:color="auto" w:fill="auto"/>
            <w:noWrap/>
            <w:vAlign w:val="bottom"/>
            <w:hideMark/>
          </w:tcPr>
          <w:p w14:paraId="36D7890F"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4.98</w:t>
            </w:r>
          </w:p>
        </w:tc>
        <w:tc>
          <w:tcPr>
            <w:tcW w:w="0" w:type="auto"/>
            <w:shd w:val="clear" w:color="auto" w:fill="auto"/>
            <w:noWrap/>
            <w:vAlign w:val="bottom"/>
            <w:hideMark/>
          </w:tcPr>
          <w:p w14:paraId="05B1D30E"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94.89</w:t>
            </w:r>
          </w:p>
        </w:tc>
        <w:tc>
          <w:tcPr>
            <w:tcW w:w="0" w:type="auto"/>
            <w:shd w:val="clear" w:color="auto" w:fill="auto"/>
            <w:noWrap/>
            <w:vAlign w:val="bottom"/>
            <w:hideMark/>
          </w:tcPr>
          <w:p w14:paraId="11FA61F5"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0.08</w:t>
            </w:r>
          </w:p>
        </w:tc>
        <w:tc>
          <w:tcPr>
            <w:tcW w:w="0" w:type="auto"/>
            <w:shd w:val="clear" w:color="auto" w:fill="auto"/>
            <w:noWrap/>
            <w:vAlign w:val="bottom"/>
            <w:hideMark/>
          </w:tcPr>
          <w:p w14:paraId="4D8CAB60"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0.04</w:t>
            </w:r>
          </w:p>
        </w:tc>
        <w:tc>
          <w:tcPr>
            <w:tcW w:w="694" w:type="dxa"/>
            <w:shd w:val="clear" w:color="auto" w:fill="auto"/>
            <w:noWrap/>
            <w:vAlign w:val="bottom"/>
            <w:hideMark/>
          </w:tcPr>
          <w:p w14:paraId="36A5E38C" w14:textId="447A4D0C"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12</w:t>
            </w:r>
          </w:p>
        </w:tc>
        <w:tc>
          <w:tcPr>
            <w:tcW w:w="629" w:type="dxa"/>
            <w:shd w:val="clear" w:color="auto" w:fill="auto"/>
            <w:noWrap/>
            <w:vAlign w:val="bottom"/>
            <w:hideMark/>
          </w:tcPr>
          <w:p w14:paraId="1517464E"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2.29</w:t>
            </w:r>
          </w:p>
        </w:tc>
        <w:tc>
          <w:tcPr>
            <w:tcW w:w="0" w:type="auto"/>
            <w:shd w:val="clear" w:color="auto" w:fill="auto"/>
            <w:noWrap/>
            <w:vAlign w:val="bottom"/>
            <w:hideMark/>
          </w:tcPr>
          <w:p w14:paraId="38F0ED03"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8.44</w:t>
            </w:r>
          </w:p>
        </w:tc>
        <w:tc>
          <w:tcPr>
            <w:tcW w:w="0" w:type="auto"/>
            <w:shd w:val="clear" w:color="auto" w:fill="auto"/>
            <w:noWrap/>
            <w:vAlign w:val="bottom"/>
            <w:hideMark/>
          </w:tcPr>
          <w:p w14:paraId="0DC15B4B"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2.77</w:t>
            </w:r>
          </w:p>
        </w:tc>
        <w:tc>
          <w:tcPr>
            <w:tcW w:w="0" w:type="auto"/>
            <w:shd w:val="clear" w:color="auto" w:fill="auto"/>
            <w:noWrap/>
            <w:vAlign w:val="bottom"/>
            <w:hideMark/>
          </w:tcPr>
          <w:p w14:paraId="4DD7FF7F"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86.50</w:t>
            </w:r>
          </w:p>
        </w:tc>
      </w:tr>
      <w:tr w:rsidR="00244EF8" w:rsidRPr="00142357" w14:paraId="1DAC4A13" w14:textId="77777777" w:rsidTr="00244EF8">
        <w:trPr>
          <w:trHeight w:val="300"/>
        </w:trPr>
        <w:tc>
          <w:tcPr>
            <w:tcW w:w="733" w:type="dxa"/>
            <w:shd w:val="clear" w:color="auto" w:fill="auto"/>
            <w:noWrap/>
            <w:vAlign w:val="bottom"/>
            <w:hideMark/>
          </w:tcPr>
          <w:p w14:paraId="02C3D1C2" w14:textId="4293996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21</w:t>
            </w:r>
          </w:p>
        </w:tc>
        <w:tc>
          <w:tcPr>
            <w:tcW w:w="629" w:type="dxa"/>
            <w:shd w:val="clear" w:color="auto" w:fill="auto"/>
            <w:noWrap/>
            <w:vAlign w:val="bottom"/>
            <w:hideMark/>
          </w:tcPr>
          <w:p w14:paraId="2D52BD5E"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4.04</w:t>
            </w:r>
          </w:p>
        </w:tc>
        <w:tc>
          <w:tcPr>
            <w:tcW w:w="0" w:type="auto"/>
            <w:shd w:val="clear" w:color="auto" w:fill="auto"/>
            <w:noWrap/>
            <w:vAlign w:val="bottom"/>
            <w:hideMark/>
          </w:tcPr>
          <w:p w14:paraId="5A379A56"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95.78</w:t>
            </w:r>
          </w:p>
        </w:tc>
        <w:tc>
          <w:tcPr>
            <w:tcW w:w="0" w:type="auto"/>
            <w:shd w:val="clear" w:color="auto" w:fill="auto"/>
            <w:noWrap/>
            <w:vAlign w:val="bottom"/>
            <w:hideMark/>
          </w:tcPr>
          <w:p w14:paraId="2228C842"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0.14</w:t>
            </w:r>
          </w:p>
        </w:tc>
        <w:tc>
          <w:tcPr>
            <w:tcW w:w="0" w:type="auto"/>
            <w:shd w:val="clear" w:color="auto" w:fill="auto"/>
            <w:noWrap/>
            <w:vAlign w:val="bottom"/>
            <w:hideMark/>
          </w:tcPr>
          <w:p w14:paraId="11975EDA"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0.04</w:t>
            </w:r>
          </w:p>
        </w:tc>
        <w:tc>
          <w:tcPr>
            <w:tcW w:w="694" w:type="dxa"/>
            <w:shd w:val="clear" w:color="auto" w:fill="auto"/>
            <w:noWrap/>
            <w:vAlign w:val="bottom"/>
            <w:hideMark/>
          </w:tcPr>
          <w:p w14:paraId="7A375DD2" w14:textId="6D5C1328"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21</w:t>
            </w:r>
          </w:p>
        </w:tc>
        <w:tc>
          <w:tcPr>
            <w:tcW w:w="629" w:type="dxa"/>
            <w:shd w:val="clear" w:color="auto" w:fill="auto"/>
            <w:noWrap/>
            <w:vAlign w:val="bottom"/>
            <w:hideMark/>
          </w:tcPr>
          <w:p w14:paraId="39174803"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1.80</w:t>
            </w:r>
          </w:p>
        </w:tc>
        <w:tc>
          <w:tcPr>
            <w:tcW w:w="0" w:type="auto"/>
            <w:shd w:val="clear" w:color="auto" w:fill="auto"/>
            <w:noWrap/>
            <w:vAlign w:val="bottom"/>
            <w:hideMark/>
          </w:tcPr>
          <w:p w14:paraId="4D326558"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13.77</w:t>
            </w:r>
          </w:p>
        </w:tc>
        <w:tc>
          <w:tcPr>
            <w:tcW w:w="0" w:type="auto"/>
            <w:shd w:val="clear" w:color="auto" w:fill="auto"/>
            <w:noWrap/>
            <w:vAlign w:val="bottom"/>
            <w:hideMark/>
          </w:tcPr>
          <w:p w14:paraId="2166BB09"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4.18</w:t>
            </w:r>
          </w:p>
        </w:tc>
        <w:tc>
          <w:tcPr>
            <w:tcW w:w="0" w:type="auto"/>
            <w:shd w:val="clear" w:color="auto" w:fill="auto"/>
            <w:noWrap/>
            <w:vAlign w:val="bottom"/>
            <w:hideMark/>
          </w:tcPr>
          <w:p w14:paraId="7D22087B"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80.26</w:t>
            </w:r>
          </w:p>
        </w:tc>
      </w:tr>
      <w:tr w:rsidR="00244EF8" w:rsidRPr="00142357" w14:paraId="6E6EF6FE" w14:textId="77777777" w:rsidTr="00244EF8">
        <w:trPr>
          <w:trHeight w:val="300"/>
        </w:trPr>
        <w:tc>
          <w:tcPr>
            <w:tcW w:w="733" w:type="dxa"/>
            <w:shd w:val="clear" w:color="auto" w:fill="auto"/>
            <w:noWrap/>
            <w:vAlign w:val="bottom"/>
            <w:hideMark/>
          </w:tcPr>
          <w:p w14:paraId="779EA0CC" w14:textId="0B7022A3"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52</w:t>
            </w:r>
          </w:p>
        </w:tc>
        <w:tc>
          <w:tcPr>
            <w:tcW w:w="629" w:type="dxa"/>
            <w:shd w:val="clear" w:color="auto" w:fill="auto"/>
            <w:noWrap/>
            <w:vAlign w:val="bottom"/>
            <w:hideMark/>
          </w:tcPr>
          <w:p w14:paraId="1B8BB383"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2.93</w:t>
            </w:r>
          </w:p>
        </w:tc>
        <w:tc>
          <w:tcPr>
            <w:tcW w:w="0" w:type="auto"/>
            <w:shd w:val="clear" w:color="auto" w:fill="auto"/>
            <w:noWrap/>
            <w:vAlign w:val="bottom"/>
            <w:hideMark/>
          </w:tcPr>
          <w:p w14:paraId="597276BD"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96.81</w:t>
            </w:r>
          </w:p>
        </w:tc>
        <w:tc>
          <w:tcPr>
            <w:tcW w:w="0" w:type="auto"/>
            <w:shd w:val="clear" w:color="auto" w:fill="auto"/>
            <w:noWrap/>
            <w:vAlign w:val="bottom"/>
            <w:hideMark/>
          </w:tcPr>
          <w:p w14:paraId="17421BCF"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0.24</w:t>
            </w:r>
          </w:p>
        </w:tc>
        <w:tc>
          <w:tcPr>
            <w:tcW w:w="0" w:type="auto"/>
            <w:shd w:val="clear" w:color="auto" w:fill="auto"/>
            <w:noWrap/>
            <w:vAlign w:val="bottom"/>
            <w:hideMark/>
          </w:tcPr>
          <w:p w14:paraId="5E31A44C"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0.03</w:t>
            </w:r>
          </w:p>
        </w:tc>
        <w:tc>
          <w:tcPr>
            <w:tcW w:w="694" w:type="dxa"/>
            <w:shd w:val="clear" w:color="auto" w:fill="auto"/>
            <w:noWrap/>
            <w:vAlign w:val="bottom"/>
            <w:hideMark/>
          </w:tcPr>
          <w:p w14:paraId="3A9AB770" w14:textId="1B5237F1"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52</w:t>
            </w:r>
          </w:p>
        </w:tc>
        <w:tc>
          <w:tcPr>
            <w:tcW w:w="629" w:type="dxa"/>
            <w:shd w:val="clear" w:color="auto" w:fill="auto"/>
            <w:noWrap/>
            <w:vAlign w:val="bottom"/>
            <w:hideMark/>
          </w:tcPr>
          <w:p w14:paraId="5C7C0CE4"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2.64</w:t>
            </w:r>
          </w:p>
        </w:tc>
        <w:tc>
          <w:tcPr>
            <w:tcW w:w="0" w:type="auto"/>
            <w:shd w:val="clear" w:color="auto" w:fill="auto"/>
            <w:noWrap/>
            <w:vAlign w:val="bottom"/>
            <w:hideMark/>
          </w:tcPr>
          <w:p w14:paraId="1E07726D"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20.40</w:t>
            </w:r>
          </w:p>
        </w:tc>
        <w:tc>
          <w:tcPr>
            <w:tcW w:w="0" w:type="auto"/>
            <w:shd w:val="clear" w:color="auto" w:fill="auto"/>
            <w:noWrap/>
            <w:vAlign w:val="bottom"/>
            <w:hideMark/>
          </w:tcPr>
          <w:p w14:paraId="1EBD9325"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5.86</w:t>
            </w:r>
          </w:p>
        </w:tc>
        <w:tc>
          <w:tcPr>
            <w:tcW w:w="0" w:type="auto"/>
            <w:shd w:val="clear" w:color="auto" w:fill="auto"/>
            <w:noWrap/>
            <w:vAlign w:val="bottom"/>
            <w:hideMark/>
          </w:tcPr>
          <w:p w14:paraId="69C2BA38" w14:textId="77777777" w:rsidR="00E50B8C" w:rsidRPr="00142357" w:rsidRDefault="00E50B8C"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71.09</w:t>
            </w:r>
          </w:p>
        </w:tc>
      </w:tr>
      <w:tr w:rsidR="00DD7712" w:rsidRPr="00142357" w14:paraId="3B13F824" w14:textId="77777777" w:rsidTr="00244EF8">
        <w:trPr>
          <w:trHeight w:val="300"/>
        </w:trPr>
        <w:tc>
          <w:tcPr>
            <w:tcW w:w="0" w:type="auto"/>
            <w:gridSpan w:val="10"/>
            <w:shd w:val="clear" w:color="auto" w:fill="auto"/>
            <w:noWrap/>
            <w:vAlign w:val="bottom"/>
            <w:hideMark/>
          </w:tcPr>
          <w:p w14:paraId="320669C2" w14:textId="77777777" w:rsidR="00DD7712" w:rsidRPr="00142357" w:rsidRDefault="00DD7712" w:rsidP="009E6088">
            <w:pPr>
              <w:spacing w:after="0" w:line="240" w:lineRule="auto"/>
              <w:jc w:val="both"/>
              <w:rPr>
                <w:rFonts w:eastAsia="Times New Roman" w:cs="Times New Roman"/>
                <w:color w:val="000000"/>
                <w:sz w:val="20"/>
                <w:szCs w:val="20"/>
              </w:rPr>
            </w:pPr>
            <w:r w:rsidRPr="00142357">
              <w:rPr>
                <w:rFonts w:eastAsia="Times New Roman" w:cs="Times New Roman"/>
                <w:color w:val="000000"/>
                <w:sz w:val="20"/>
                <w:szCs w:val="20"/>
              </w:rPr>
              <w:t>Cholesky ordering: LUSA LPK LIND LCN</w:t>
            </w:r>
          </w:p>
        </w:tc>
      </w:tr>
    </w:tbl>
    <w:p w14:paraId="08234D8E" w14:textId="77777777" w:rsidR="00DD7712" w:rsidRPr="00244EF8" w:rsidRDefault="00DD7712" w:rsidP="009E6088">
      <w:pPr>
        <w:spacing w:after="0" w:line="240" w:lineRule="auto"/>
        <w:jc w:val="both"/>
        <w:rPr>
          <w:rFonts w:cs="Times New Roman"/>
          <w:sz w:val="20"/>
          <w:szCs w:val="20"/>
        </w:rPr>
      </w:pPr>
      <w:r w:rsidRPr="00244EF8">
        <w:rPr>
          <w:rFonts w:cs="Times New Roman"/>
          <w:i/>
          <w:iCs/>
          <w:sz w:val="20"/>
          <w:szCs w:val="20"/>
        </w:rPr>
        <w:t>Source:</w:t>
      </w:r>
      <w:r w:rsidRPr="00244EF8">
        <w:rPr>
          <w:rFonts w:cs="Times New Roman"/>
          <w:sz w:val="20"/>
          <w:szCs w:val="20"/>
        </w:rPr>
        <w:t xml:space="preserve"> Authors' estimation</w:t>
      </w:r>
    </w:p>
    <w:p w14:paraId="4D62F735" w14:textId="6B16A6A7" w:rsidR="00DD7712" w:rsidRDefault="00DD7712" w:rsidP="009E6088">
      <w:pPr>
        <w:pStyle w:val="NormalWeb"/>
        <w:shd w:val="clear" w:color="auto" w:fill="FFFFFF"/>
        <w:spacing w:before="0" w:beforeAutospacing="0" w:after="0" w:afterAutospacing="0"/>
        <w:ind w:firstLine="720"/>
        <w:jc w:val="both"/>
        <w:rPr>
          <w:bCs/>
        </w:rPr>
      </w:pPr>
      <w:r w:rsidRPr="00CC30C3">
        <w:rPr>
          <w:bCs/>
        </w:rPr>
        <w:t>The results for variance decomposition analysis of the Indian market are in line with the VECM results generated above where 32% of the Indian market variance is described by fluctuations in the US market. In the 52 week period horizon, the Indian market is relatively exogenous, where around only 23% of its variance is explained by fluctuations in the Pakistani market and the Indian market and only 0.02% being explained by innovations in the Chinese market.</w:t>
      </w:r>
    </w:p>
    <w:p w14:paraId="5F0439AB" w14:textId="77777777" w:rsidR="00CC30C3" w:rsidRPr="00CC30C3" w:rsidRDefault="00CC30C3" w:rsidP="009E6088">
      <w:pPr>
        <w:pStyle w:val="NormalWeb"/>
        <w:shd w:val="clear" w:color="auto" w:fill="FFFFFF"/>
        <w:spacing w:before="0" w:beforeAutospacing="0" w:after="0" w:afterAutospacing="0"/>
        <w:ind w:firstLine="720"/>
        <w:jc w:val="both"/>
        <w:rPr>
          <w:bCs/>
        </w:rPr>
      </w:pPr>
    </w:p>
    <w:p w14:paraId="68B2960D" w14:textId="77777777" w:rsidR="00DD7712" w:rsidRPr="000E24C2" w:rsidRDefault="00DD7712" w:rsidP="009E6088">
      <w:pPr>
        <w:pStyle w:val="NormalWeb"/>
        <w:shd w:val="clear" w:color="auto" w:fill="FFFFFF"/>
        <w:spacing w:before="0" w:beforeAutospacing="0" w:after="0" w:afterAutospacing="0"/>
        <w:ind w:firstLine="720"/>
        <w:jc w:val="both"/>
      </w:pPr>
      <w:r w:rsidRPr="00CC30C3">
        <w:rPr>
          <w:bCs/>
        </w:rPr>
        <w:t>The results for the variance decomposition of the Chinese market in the system is: around 65 of its variance is explained by the US market in the short run and the Chinese market explains around 91% of its own variance. In the year period. The chines market is forecasted to be relatively 20% of its variance is explained by the Pakistani market innovations.</w:t>
      </w:r>
    </w:p>
    <w:p w14:paraId="5C35A513" w14:textId="63F0561B" w:rsidR="006B28C1" w:rsidRDefault="00DD7712" w:rsidP="009E6088">
      <w:pPr>
        <w:pStyle w:val="NoSpacing"/>
        <w:rPr>
          <w:rFonts w:ascii="Times New Roman" w:eastAsia="Times New Roman" w:hAnsi="Times New Roman" w:cs="Times New Roman"/>
          <w:b/>
          <w:sz w:val="20"/>
          <w:szCs w:val="20"/>
        </w:rPr>
      </w:pPr>
      <w:r w:rsidRPr="006B28C1">
        <w:rPr>
          <w:rFonts w:ascii="Times New Roman" w:eastAsia="Times New Roman" w:hAnsi="Times New Roman" w:cs="Times New Roman"/>
          <w:b/>
          <w:sz w:val="20"/>
          <w:szCs w:val="20"/>
        </w:rPr>
        <w:t xml:space="preserve">Table </w:t>
      </w:r>
      <w:r w:rsidR="00053A10">
        <w:rPr>
          <w:rFonts w:ascii="Times New Roman" w:eastAsia="Times New Roman" w:hAnsi="Times New Roman" w:cs="Times New Roman"/>
          <w:b/>
          <w:sz w:val="20"/>
          <w:szCs w:val="20"/>
        </w:rPr>
        <w:t>4</w:t>
      </w:r>
      <w:r w:rsidRPr="006B28C1">
        <w:rPr>
          <w:rFonts w:ascii="Times New Roman" w:eastAsia="Times New Roman" w:hAnsi="Times New Roman" w:cs="Times New Roman"/>
          <w:b/>
          <w:sz w:val="20"/>
          <w:szCs w:val="20"/>
        </w:rPr>
        <w:t>.6</w:t>
      </w:r>
    </w:p>
    <w:p w14:paraId="26335CD9" w14:textId="44B12DC5" w:rsidR="00DD7712" w:rsidRPr="006B28C1" w:rsidRDefault="00DD7712" w:rsidP="009E6088">
      <w:pPr>
        <w:pStyle w:val="NoSpacing"/>
        <w:rPr>
          <w:rFonts w:ascii="Times New Roman" w:eastAsia="Times New Roman" w:hAnsi="Times New Roman" w:cs="Times New Roman"/>
          <w:b/>
          <w:i/>
          <w:iCs/>
          <w:sz w:val="20"/>
          <w:szCs w:val="20"/>
        </w:rPr>
      </w:pPr>
      <w:r w:rsidRPr="006B28C1">
        <w:rPr>
          <w:rFonts w:ascii="Times New Roman" w:eastAsia="Times New Roman" w:hAnsi="Times New Roman" w:cs="Times New Roman"/>
          <w:b/>
          <w:i/>
          <w:iCs/>
          <w:sz w:val="20"/>
          <w:szCs w:val="20"/>
        </w:rPr>
        <w:t>Variance decomposition for the system including the UK market</w:t>
      </w:r>
    </w:p>
    <w:tbl>
      <w:tblPr>
        <w:tblW w:w="5000" w:type="pct"/>
        <w:tblBorders>
          <w:top w:val="single" w:sz="12" w:space="0" w:color="auto"/>
          <w:bottom w:val="single" w:sz="12" w:space="0" w:color="auto"/>
        </w:tblBorders>
        <w:tblLook w:val="04A0" w:firstRow="1" w:lastRow="0" w:firstColumn="1" w:lastColumn="0" w:noHBand="0" w:noVBand="1"/>
      </w:tblPr>
      <w:tblGrid>
        <w:gridCol w:w="686"/>
        <w:gridCol w:w="621"/>
        <w:gridCol w:w="621"/>
        <w:gridCol w:w="646"/>
        <w:gridCol w:w="576"/>
        <w:gridCol w:w="686"/>
        <w:gridCol w:w="621"/>
        <w:gridCol w:w="557"/>
        <w:gridCol w:w="646"/>
        <w:gridCol w:w="622"/>
      </w:tblGrid>
      <w:tr w:rsidR="006B28C1" w:rsidRPr="006B28C1" w14:paraId="5E81644B" w14:textId="77777777" w:rsidTr="00046730">
        <w:trPr>
          <w:trHeight w:val="297"/>
        </w:trPr>
        <w:tc>
          <w:tcPr>
            <w:tcW w:w="2507" w:type="pct"/>
            <w:gridSpan w:val="5"/>
            <w:tcBorders>
              <w:top w:val="single" w:sz="12" w:space="0" w:color="auto"/>
              <w:bottom w:val="single" w:sz="12" w:space="0" w:color="auto"/>
            </w:tcBorders>
            <w:shd w:val="clear" w:color="auto" w:fill="auto"/>
            <w:noWrap/>
            <w:hideMark/>
          </w:tcPr>
          <w:p w14:paraId="1B7DA86E" w14:textId="12AE5DFC" w:rsidR="006B28C1" w:rsidRPr="006B28C1" w:rsidRDefault="006B28C1" w:rsidP="009E6088">
            <w:pPr>
              <w:spacing w:after="0" w:line="240" w:lineRule="auto"/>
              <w:rPr>
                <w:rFonts w:eastAsia="Times New Roman" w:cs="Times New Roman"/>
                <w:color w:val="000000"/>
                <w:sz w:val="18"/>
                <w:szCs w:val="18"/>
              </w:rPr>
            </w:pPr>
            <w:r w:rsidRPr="006B28C1">
              <w:rPr>
                <w:rFonts w:eastAsia="Times New Roman" w:cs="Times New Roman"/>
                <w:color w:val="000000"/>
                <w:sz w:val="18"/>
                <w:szCs w:val="18"/>
              </w:rPr>
              <w:t>Variance Decomposition of LUK:</w:t>
            </w:r>
          </w:p>
        </w:tc>
        <w:tc>
          <w:tcPr>
            <w:tcW w:w="2493" w:type="pct"/>
            <w:gridSpan w:val="5"/>
            <w:tcBorders>
              <w:top w:val="single" w:sz="12" w:space="0" w:color="auto"/>
              <w:bottom w:val="single" w:sz="12" w:space="0" w:color="auto"/>
            </w:tcBorders>
            <w:shd w:val="clear" w:color="auto" w:fill="auto"/>
            <w:noWrap/>
            <w:hideMark/>
          </w:tcPr>
          <w:p w14:paraId="00DAA1E4" w14:textId="46585095" w:rsidR="006B28C1" w:rsidRPr="006B28C1" w:rsidRDefault="006B28C1" w:rsidP="009E6088">
            <w:pPr>
              <w:spacing w:after="0" w:line="240" w:lineRule="auto"/>
              <w:rPr>
                <w:rFonts w:eastAsia="Times New Roman" w:cs="Times New Roman"/>
                <w:color w:val="000000"/>
                <w:sz w:val="18"/>
                <w:szCs w:val="18"/>
              </w:rPr>
            </w:pPr>
            <w:r w:rsidRPr="006B28C1">
              <w:rPr>
                <w:rFonts w:eastAsia="Times New Roman" w:cs="Times New Roman"/>
                <w:color w:val="000000"/>
                <w:sz w:val="18"/>
                <w:szCs w:val="18"/>
              </w:rPr>
              <w:t>Variance Decomposition of LIND:</w:t>
            </w:r>
          </w:p>
        </w:tc>
      </w:tr>
      <w:tr w:rsidR="00E818E7" w:rsidRPr="006B28C1" w14:paraId="40051CDB" w14:textId="77777777" w:rsidTr="00046730">
        <w:trPr>
          <w:trHeight w:val="458"/>
        </w:trPr>
        <w:tc>
          <w:tcPr>
            <w:tcW w:w="546" w:type="pct"/>
            <w:vMerge w:val="restart"/>
            <w:tcBorders>
              <w:top w:val="single" w:sz="12" w:space="0" w:color="auto"/>
              <w:bottom w:val="single" w:sz="4" w:space="0" w:color="auto"/>
            </w:tcBorders>
            <w:shd w:val="clear" w:color="auto" w:fill="auto"/>
            <w:noWrap/>
            <w:hideMark/>
          </w:tcPr>
          <w:p w14:paraId="24F1817E" w14:textId="1602AF38" w:rsidR="006B28C1" w:rsidRPr="006B28C1" w:rsidRDefault="006B28C1" w:rsidP="009E6088">
            <w:pPr>
              <w:spacing w:after="0" w:line="240" w:lineRule="auto"/>
              <w:rPr>
                <w:rFonts w:eastAsia="Times New Roman" w:cs="Times New Roman"/>
                <w:color w:val="000000"/>
                <w:sz w:val="18"/>
                <w:szCs w:val="18"/>
              </w:rPr>
            </w:pPr>
          </w:p>
        </w:tc>
        <w:tc>
          <w:tcPr>
            <w:tcW w:w="1961" w:type="pct"/>
            <w:gridSpan w:val="4"/>
            <w:vMerge w:val="restart"/>
            <w:tcBorders>
              <w:top w:val="single" w:sz="12" w:space="0" w:color="auto"/>
              <w:bottom w:val="single" w:sz="4" w:space="0" w:color="auto"/>
              <w:right w:val="nil"/>
            </w:tcBorders>
            <w:shd w:val="clear" w:color="auto" w:fill="auto"/>
            <w:hideMark/>
          </w:tcPr>
          <w:p w14:paraId="60018175" w14:textId="77777777" w:rsidR="006B28C1" w:rsidRPr="006B28C1" w:rsidRDefault="006B28C1" w:rsidP="009E6088">
            <w:pPr>
              <w:spacing w:after="0" w:line="240" w:lineRule="auto"/>
              <w:rPr>
                <w:rFonts w:eastAsia="Times New Roman" w:cs="Times New Roman"/>
                <w:color w:val="000000"/>
                <w:sz w:val="18"/>
                <w:szCs w:val="18"/>
              </w:rPr>
            </w:pPr>
            <w:r w:rsidRPr="006B28C1">
              <w:rPr>
                <w:rFonts w:eastAsia="Times New Roman" w:cs="Times New Roman"/>
                <w:color w:val="000000"/>
                <w:sz w:val="18"/>
                <w:szCs w:val="18"/>
              </w:rPr>
              <w:t>% of forecasted variance which is described by changes in</w:t>
            </w:r>
          </w:p>
        </w:tc>
        <w:tc>
          <w:tcPr>
            <w:tcW w:w="547" w:type="pct"/>
            <w:vMerge w:val="restart"/>
            <w:tcBorders>
              <w:top w:val="nil"/>
              <w:left w:val="nil"/>
              <w:bottom w:val="single" w:sz="4" w:space="0" w:color="auto"/>
            </w:tcBorders>
            <w:shd w:val="clear" w:color="auto" w:fill="auto"/>
            <w:noWrap/>
            <w:hideMark/>
          </w:tcPr>
          <w:p w14:paraId="37E678EE" w14:textId="11A525F4" w:rsidR="006B28C1" w:rsidRPr="006B28C1" w:rsidRDefault="006B28C1" w:rsidP="009E6088">
            <w:pPr>
              <w:spacing w:after="0" w:line="240" w:lineRule="auto"/>
              <w:rPr>
                <w:rFonts w:eastAsia="Times New Roman" w:cs="Times New Roman"/>
                <w:color w:val="000000"/>
                <w:sz w:val="18"/>
                <w:szCs w:val="18"/>
              </w:rPr>
            </w:pPr>
          </w:p>
        </w:tc>
        <w:tc>
          <w:tcPr>
            <w:tcW w:w="1946" w:type="pct"/>
            <w:gridSpan w:val="4"/>
            <w:vMerge w:val="restart"/>
            <w:tcBorders>
              <w:top w:val="single" w:sz="12" w:space="0" w:color="auto"/>
              <w:bottom w:val="single" w:sz="4" w:space="0" w:color="auto"/>
            </w:tcBorders>
            <w:shd w:val="clear" w:color="auto" w:fill="auto"/>
            <w:hideMark/>
          </w:tcPr>
          <w:p w14:paraId="1FBA1004" w14:textId="77777777" w:rsidR="006B28C1" w:rsidRPr="006B28C1" w:rsidRDefault="006B28C1" w:rsidP="009E6088">
            <w:pPr>
              <w:spacing w:after="0" w:line="240" w:lineRule="auto"/>
              <w:rPr>
                <w:rFonts w:eastAsia="Times New Roman" w:cs="Times New Roman"/>
                <w:color w:val="000000"/>
                <w:sz w:val="18"/>
                <w:szCs w:val="18"/>
              </w:rPr>
            </w:pPr>
            <w:r w:rsidRPr="006B28C1">
              <w:rPr>
                <w:rFonts w:eastAsia="Times New Roman" w:cs="Times New Roman"/>
                <w:color w:val="000000"/>
                <w:sz w:val="18"/>
                <w:szCs w:val="18"/>
              </w:rPr>
              <w:t>% of forecasted variance which is described by changes in</w:t>
            </w:r>
          </w:p>
        </w:tc>
      </w:tr>
      <w:tr w:rsidR="009E6088" w:rsidRPr="006B28C1" w14:paraId="48657B55" w14:textId="77777777" w:rsidTr="00046730">
        <w:trPr>
          <w:trHeight w:val="458"/>
        </w:trPr>
        <w:tc>
          <w:tcPr>
            <w:tcW w:w="546" w:type="pct"/>
            <w:vMerge/>
            <w:tcBorders>
              <w:top w:val="nil"/>
              <w:bottom w:val="single" w:sz="4" w:space="0" w:color="auto"/>
            </w:tcBorders>
            <w:vAlign w:val="center"/>
            <w:hideMark/>
          </w:tcPr>
          <w:p w14:paraId="1F30C844" w14:textId="77777777" w:rsidR="006B28C1" w:rsidRPr="006B28C1" w:rsidRDefault="006B28C1" w:rsidP="009E6088">
            <w:pPr>
              <w:spacing w:after="0" w:line="240" w:lineRule="auto"/>
              <w:jc w:val="both"/>
              <w:rPr>
                <w:rFonts w:eastAsia="Times New Roman" w:cs="Times New Roman"/>
                <w:color w:val="000000"/>
                <w:sz w:val="18"/>
                <w:szCs w:val="18"/>
              </w:rPr>
            </w:pPr>
          </w:p>
        </w:tc>
        <w:tc>
          <w:tcPr>
            <w:tcW w:w="1961" w:type="pct"/>
            <w:gridSpan w:val="4"/>
            <w:vMerge/>
            <w:tcBorders>
              <w:top w:val="nil"/>
              <w:bottom w:val="single" w:sz="4" w:space="0" w:color="auto"/>
              <w:right w:val="nil"/>
            </w:tcBorders>
            <w:vAlign w:val="center"/>
            <w:hideMark/>
          </w:tcPr>
          <w:p w14:paraId="2D7F8FDA" w14:textId="77777777" w:rsidR="006B28C1" w:rsidRPr="006B28C1" w:rsidRDefault="006B28C1" w:rsidP="009E6088">
            <w:pPr>
              <w:spacing w:after="0" w:line="240" w:lineRule="auto"/>
              <w:jc w:val="both"/>
              <w:rPr>
                <w:rFonts w:eastAsia="Times New Roman" w:cs="Times New Roman"/>
                <w:color w:val="000000"/>
                <w:sz w:val="18"/>
                <w:szCs w:val="18"/>
              </w:rPr>
            </w:pPr>
          </w:p>
        </w:tc>
        <w:tc>
          <w:tcPr>
            <w:tcW w:w="547" w:type="pct"/>
            <w:vMerge/>
            <w:tcBorders>
              <w:top w:val="nil"/>
              <w:left w:val="nil"/>
              <w:bottom w:val="single" w:sz="4" w:space="0" w:color="auto"/>
            </w:tcBorders>
            <w:vAlign w:val="center"/>
            <w:hideMark/>
          </w:tcPr>
          <w:p w14:paraId="5143D7A2" w14:textId="77777777" w:rsidR="006B28C1" w:rsidRPr="006B28C1" w:rsidRDefault="006B28C1" w:rsidP="009E6088">
            <w:pPr>
              <w:spacing w:after="0" w:line="240" w:lineRule="auto"/>
              <w:jc w:val="both"/>
              <w:rPr>
                <w:rFonts w:eastAsia="Times New Roman" w:cs="Times New Roman"/>
                <w:color w:val="000000"/>
                <w:sz w:val="18"/>
                <w:szCs w:val="18"/>
              </w:rPr>
            </w:pPr>
          </w:p>
        </w:tc>
        <w:tc>
          <w:tcPr>
            <w:tcW w:w="1946" w:type="pct"/>
            <w:gridSpan w:val="4"/>
            <w:vMerge/>
            <w:tcBorders>
              <w:top w:val="nil"/>
              <w:bottom w:val="single" w:sz="4" w:space="0" w:color="auto"/>
            </w:tcBorders>
            <w:vAlign w:val="center"/>
            <w:hideMark/>
          </w:tcPr>
          <w:p w14:paraId="32B4426F" w14:textId="77777777" w:rsidR="006B28C1" w:rsidRPr="006B28C1" w:rsidRDefault="006B28C1" w:rsidP="009E6088">
            <w:pPr>
              <w:spacing w:after="0" w:line="240" w:lineRule="auto"/>
              <w:jc w:val="both"/>
              <w:rPr>
                <w:rFonts w:eastAsia="Times New Roman" w:cs="Times New Roman"/>
                <w:color w:val="000000"/>
                <w:sz w:val="18"/>
                <w:szCs w:val="18"/>
              </w:rPr>
            </w:pPr>
          </w:p>
        </w:tc>
      </w:tr>
      <w:tr w:rsidR="00D2365E" w:rsidRPr="006B28C1" w14:paraId="4E1A2FC5" w14:textId="77777777" w:rsidTr="00D2365E">
        <w:trPr>
          <w:trHeight w:val="297"/>
        </w:trPr>
        <w:tc>
          <w:tcPr>
            <w:tcW w:w="546" w:type="pct"/>
            <w:tcBorders>
              <w:top w:val="single" w:sz="4" w:space="0" w:color="auto"/>
              <w:bottom w:val="single" w:sz="4" w:space="0" w:color="auto"/>
            </w:tcBorders>
            <w:shd w:val="clear" w:color="auto" w:fill="auto"/>
            <w:noWrap/>
            <w:hideMark/>
          </w:tcPr>
          <w:p w14:paraId="4A0BE04E" w14:textId="558B9D46" w:rsidR="006B28C1" w:rsidRPr="006B28C1" w:rsidRDefault="006B28C1" w:rsidP="009E6088">
            <w:pPr>
              <w:spacing w:after="0" w:line="240" w:lineRule="auto"/>
              <w:rPr>
                <w:rFonts w:eastAsia="Times New Roman" w:cs="Times New Roman"/>
                <w:color w:val="000000"/>
                <w:sz w:val="17"/>
                <w:szCs w:val="17"/>
              </w:rPr>
            </w:pPr>
            <w:r w:rsidRPr="006B28C1">
              <w:rPr>
                <w:rFonts w:eastAsia="Times New Roman" w:cs="Times New Roman"/>
                <w:color w:val="000000"/>
                <w:sz w:val="17"/>
                <w:szCs w:val="17"/>
              </w:rPr>
              <w:t>Period</w:t>
            </w:r>
          </w:p>
        </w:tc>
        <w:tc>
          <w:tcPr>
            <w:tcW w:w="494" w:type="pct"/>
            <w:tcBorders>
              <w:top w:val="single" w:sz="4" w:space="0" w:color="auto"/>
              <w:bottom w:val="single" w:sz="4" w:space="0" w:color="auto"/>
            </w:tcBorders>
            <w:shd w:val="clear" w:color="auto" w:fill="auto"/>
            <w:noWrap/>
            <w:hideMark/>
          </w:tcPr>
          <w:p w14:paraId="44A8F890" w14:textId="77777777" w:rsidR="006B28C1" w:rsidRPr="006B28C1" w:rsidRDefault="006B28C1" w:rsidP="009E6088">
            <w:pPr>
              <w:spacing w:after="0" w:line="240" w:lineRule="auto"/>
              <w:rPr>
                <w:rFonts w:eastAsia="Times New Roman" w:cs="Times New Roman"/>
                <w:color w:val="000000"/>
                <w:sz w:val="17"/>
                <w:szCs w:val="17"/>
              </w:rPr>
            </w:pPr>
            <w:r w:rsidRPr="006B28C1">
              <w:rPr>
                <w:rFonts w:eastAsia="Times New Roman" w:cs="Times New Roman"/>
                <w:color w:val="000000"/>
                <w:sz w:val="17"/>
                <w:szCs w:val="17"/>
              </w:rPr>
              <w:t>LUK</w:t>
            </w:r>
          </w:p>
        </w:tc>
        <w:tc>
          <w:tcPr>
            <w:tcW w:w="494" w:type="pct"/>
            <w:tcBorders>
              <w:top w:val="single" w:sz="4" w:space="0" w:color="auto"/>
              <w:bottom w:val="single" w:sz="4" w:space="0" w:color="auto"/>
            </w:tcBorders>
            <w:shd w:val="clear" w:color="auto" w:fill="auto"/>
            <w:noWrap/>
            <w:hideMark/>
          </w:tcPr>
          <w:p w14:paraId="21547931" w14:textId="77777777" w:rsidR="006B28C1" w:rsidRPr="006B28C1" w:rsidRDefault="006B28C1" w:rsidP="009E6088">
            <w:pPr>
              <w:spacing w:after="0" w:line="240" w:lineRule="auto"/>
              <w:rPr>
                <w:rFonts w:eastAsia="Times New Roman" w:cs="Times New Roman"/>
                <w:color w:val="000000"/>
                <w:sz w:val="17"/>
                <w:szCs w:val="17"/>
              </w:rPr>
            </w:pPr>
            <w:r w:rsidRPr="006B28C1">
              <w:rPr>
                <w:rFonts w:eastAsia="Times New Roman" w:cs="Times New Roman"/>
                <w:color w:val="000000"/>
                <w:sz w:val="17"/>
                <w:szCs w:val="17"/>
              </w:rPr>
              <w:t>LPK</w:t>
            </w:r>
          </w:p>
        </w:tc>
        <w:tc>
          <w:tcPr>
            <w:tcW w:w="514" w:type="pct"/>
            <w:tcBorders>
              <w:top w:val="single" w:sz="4" w:space="0" w:color="auto"/>
              <w:bottom w:val="single" w:sz="4" w:space="0" w:color="auto"/>
            </w:tcBorders>
            <w:shd w:val="clear" w:color="auto" w:fill="auto"/>
            <w:noWrap/>
            <w:hideMark/>
          </w:tcPr>
          <w:p w14:paraId="40BA0E37" w14:textId="77777777" w:rsidR="006B28C1" w:rsidRPr="006B28C1" w:rsidRDefault="006B28C1" w:rsidP="009E6088">
            <w:pPr>
              <w:spacing w:after="0" w:line="240" w:lineRule="auto"/>
              <w:rPr>
                <w:rFonts w:eastAsia="Times New Roman" w:cs="Times New Roman"/>
                <w:color w:val="000000"/>
                <w:sz w:val="17"/>
                <w:szCs w:val="17"/>
              </w:rPr>
            </w:pPr>
            <w:r w:rsidRPr="006B28C1">
              <w:rPr>
                <w:rFonts w:eastAsia="Times New Roman" w:cs="Times New Roman"/>
                <w:color w:val="000000"/>
                <w:sz w:val="17"/>
                <w:szCs w:val="17"/>
              </w:rPr>
              <w:t>LIND</w:t>
            </w:r>
          </w:p>
        </w:tc>
        <w:tc>
          <w:tcPr>
            <w:tcW w:w="458" w:type="pct"/>
            <w:tcBorders>
              <w:top w:val="single" w:sz="4" w:space="0" w:color="auto"/>
              <w:bottom w:val="single" w:sz="4" w:space="0" w:color="auto"/>
              <w:right w:val="nil"/>
            </w:tcBorders>
            <w:shd w:val="clear" w:color="auto" w:fill="auto"/>
            <w:noWrap/>
            <w:hideMark/>
          </w:tcPr>
          <w:p w14:paraId="3CC01D69" w14:textId="77777777" w:rsidR="006B28C1" w:rsidRPr="006B28C1" w:rsidRDefault="006B28C1" w:rsidP="009E6088">
            <w:pPr>
              <w:spacing w:after="0" w:line="240" w:lineRule="auto"/>
              <w:rPr>
                <w:rFonts w:eastAsia="Times New Roman" w:cs="Times New Roman"/>
                <w:color w:val="000000"/>
                <w:sz w:val="17"/>
                <w:szCs w:val="17"/>
              </w:rPr>
            </w:pPr>
            <w:r w:rsidRPr="006B28C1">
              <w:rPr>
                <w:rFonts w:eastAsia="Times New Roman" w:cs="Times New Roman"/>
                <w:color w:val="000000"/>
                <w:sz w:val="17"/>
                <w:szCs w:val="17"/>
              </w:rPr>
              <w:t>LCN</w:t>
            </w:r>
          </w:p>
        </w:tc>
        <w:tc>
          <w:tcPr>
            <w:tcW w:w="547" w:type="pct"/>
            <w:tcBorders>
              <w:top w:val="single" w:sz="4" w:space="0" w:color="auto"/>
              <w:left w:val="nil"/>
              <w:bottom w:val="single" w:sz="4" w:space="0" w:color="auto"/>
            </w:tcBorders>
            <w:shd w:val="clear" w:color="auto" w:fill="auto"/>
            <w:noWrap/>
            <w:hideMark/>
          </w:tcPr>
          <w:p w14:paraId="7387944B" w14:textId="27ED842F" w:rsidR="006B28C1" w:rsidRPr="006B28C1" w:rsidRDefault="006B28C1" w:rsidP="009E6088">
            <w:pPr>
              <w:spacing w:after="0" w:line="240" w:lineRule="auto"/>
              <w:rPr>
                <w:rFonts w:eastAsia="Times New Roman" w:cs="Times New Roman"/>
                <w:color w:val="000000"/>
                <w:sz w:val="17"/>
                <w:szCs w:val="17"/>
              </w:rPr>
            </w:pPr>
            <w:r w:rsidRPr="006B28C1">
              <w:rPr>
                <w:rFonts w:eastAsia="Times New Roman" w:cs="Times New Roman"/>
                <w:color w:val="000000"/>
                <w:sz w:val="17"/>
                <w:szCs w:val="17"/>
              </w:rPr>
              <w:t>Period</w:t>
            </w:r>
          </w:p>
        </w:tc>
        <w:tc>
          <w:tcPr>
            <w:tcW w:w="494" w:type="pct"/>
            <w:tcBorders>
              <w:top w:val="single" w:sz="4" w:space="0" w:color="auto"/>
              <w:bottom w:val="single" w:sz="4" w:space="0" w:color="auto"/>
            </w:tcBorders>
            <w:shd w:val="clear" w:color="auto" w:fill="auto"/>
            <w:noWrap/>
            <w:hideMark/>
          </w:tcPr>
          <w:p w14:paraId="3350F756" w14:textId="77777777" w:rsidR="006B28C1" w:rsidRPr="006B28C1" w:rsidRDefault="006B28C1" w:rsidP="009E6088">
            <w:pPr>
              <w:spacing w:after="0" w:line="240" w:lineRule="auto"/>
              <w:rPr>
                <w:rFonts w:eastAsia="Times New Roman" w:cs="Times New Roman"/>
                <w:color w:val="000000"/>
                <w:sz w:val="17"/>
                <w:szCs w:val="17"/>
              </w:rPr>
            </w:pPr>
            <w:r w:rsidRPr="006B28C1">
              <w:rPr>
                <w:rFonts w:eastAsia="Times New Roman" w:cs="Times New Roman"/>
                <w:color w:val="000000"/>
                <w:sz w:val="17"/>
                <w:szCs w:val="17"/>
              </w:rPr>
              <w:t>LUK</w:t>
            </w:r>
          </w:p>
        </w:tc>
        <w:tc>
          <w:tcPr>
            <w:tcW w:w="443" w:type="pct"/>
            <w:tcBorders>
              <w:top w:val="single" w:sz="4" w:space="0" w:color="auto"/>
              <w:bottom w:val="single" w:sz="4" w:space="0" w:color="auto"/>
            </w:tcBorders>
            <w:shd w:val="clear" w:color="auto" w:fill="auto"/>
            <w:noWrap/>
            <w:hideMark/>
          </w:tcPr>
          <w:p w14:paraId="442D5BE9" w14:textId="77777777" w:rsidR="006B28C1" w:rsidRPr="006B28C1" w:rsidRDefault="006B28C1" w:rsidP="009E6088">
            <w:pPr>
              <w:spacing w:after="0" w:line="240" w:lineRule="auto"/>
              <w:rPr>
                <w:rFonts w:eastAsia="Times New Roman" w:cs="Times New Roman"/>
                <w:color w:val="000000"/>
                <w:sz w:val="17"/>
                <w:szCs w:val="17"/>
              </w:rPr>
            </w:pPr>
            <w:r w:rsidRPr="006B28C1">
              <w:rPr>
                <w:rFonts w:eastAsia="Times New Roman" w:cs="Times New Roman"/>
                <w:color w:val="000000"/>
                <w:sz w:val="17"/>
                <w:szCs w:val="17"/>
              </w:rPr>
              <w:t>LPK</w:t>
            </w:r>
          </w:p>
        </w:tc>
        <w:tc>
          <w:tcPr>
            <w:tcW w:w="514" w:type="pct"/>
            <w:tcBorders>
              <w:top w:val="single" w:sz="4" w:space="0" w:color="auto"/>
              <w:bottom w:val="single" w:sz="4" w:space="0" w:color="auto"/>
            </w:tcBorders>
            <w:shd w:val="clear" w:color="auto" w:fill="auto"/>
            <w:noWrap/>
            <w:hideMark/>
          </w:tcPr>
          <w:p w14:paraId="1B2BBFEE" w14:textId="77777777" w:rsidR="006B28C1" w:rsidRPr="006B28C1" w:rsidRDefault="006B28C1" w:rsidP="009E6088">
            <w:pPr>
              <w:spacing w:after="0" w:line="240" w:lineRule="auto"/>
              <w:rPr>
                <w:rFonts w:eastAsia="Times New Roman" w:cs="Times New Roman"/>
                <w:color w:val="000000"/>
                <w:sz w:val="17"/>
                <w:szCs w:val="17"/>
              </w:rPr>
            </w:pPr>
            <w:r w:rsidRPr="006B28C1">
              <w:rPr>
                <w:rFonts w:eastAsia="Times New Roman" w:cs="Times New Roman"/>
                <w:color w:val="000000"/>
                <w:sz w:val="17"/>
                <w:szCs w:val="17"/>
              </w:rPr>
              <w:t>LIND</w:t>
            </w:r>
          </w:p>
        </w:tc>
        <w:tc>
          <w:tcPr>
            <w:tcW w:w="494" w:type="pct"/>
            <w:tcBorders>
              <w:top w:val="single" w:sz="4" w:space="0" w:color="auto"/>
              <w:bottom w:val="single" w:sz="4" w:space="0" w:color="auto"/>
            </w:tcBorders>
            <w:shd w:val="clear" w:color="auto" w:fill="auto"/>
            <w:noWrap/>
            <w:hideMark/>
          </w:tcPr>
          <w:p w14:paraId="786ECF78" w14:textId="77777777" w:rsidR="006B28C1" w:rsidRPr="006B28C1" w:rsidRDefault="006B28C1" w:rsidP="009E6088">
            <w:pPr>
              <w:spacing w:after="0" w:line="240" w:lineRule="auto"/>
              <w:rPr>
                <w:rFonts w:eastAsia="Times New Roman" w:cs="Times New Roman"/>
                <w:color w:val="000000"/>
                <w:sz w:val="17"/>
                <w:szCs w:val="17"/>
              </w:rPr>
            </w:pPr>
            <w:r w:rsidRPr="006B28C1">
              <w:rPr>
                <w:rFonts w:eastAsia="Times New Roman" w:cs="Times New Roman"/>
                <w:color w:val="000000"/>
                <w:sz w:val="17"/>
                <w:szCs w:val="17"/>
              </w:rPr>
              <w:t>LCN</w:t>
            </w:r>
          </w:p>
        </w:tc>
      </w:tr>
      <w:tr w:rsidR="00D2365E" w:rsidRPr="006B28C1" w14:paraId="207C0473" w14:textId="77777777" w:rsidTr="00D2365E">
        <w:trPr>
          <w:trHeight w:val="297"/>
        </w:trPr>
        <w:tc>
          <w:tcPr>
            <w:tcW w:w="546" w:type="pct"/>
            <w:tcBorders>
              <w:top w:val="single" w:sz="4" w:space="0" w:color="auto"/>
            </w:tcBorders>
            <w:shd w:val="clear" w:color="auto" w:fill="auto"/>
            <w:noWrap/>
            <w:vAlign w:val="bottom"/>
            <w:hideMark/>
          </w:tcPr>
          <w:p w14:paraId="7CB7479F" w14:textId="3A3792F5"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Week</w:t>
            </w:r>
          </w:p>
        </w:tc>
        <w:tc>
          <w:tcPr>
            <w:tcW w:w="494" w:type="pct"/>
            <w:tcBorders>
              <w:top w:val="single" w:sz="4" w:space="0" w:color="auto"/>
            </w:tcBorders>
            <w:shd w:val="clear" w:color="auto" w:fill="auto"/>
            <w:noWrap/>
            <w:vAlign w:val="bottom"/>
            <w:hideMark/>
          </w:tcPr>
          <w:p w14:paraId="1E439839"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494" w:type="pct"/>
            <w:tcBorders>
              <w:top w:val="single" w:sz="4" w:space="0" w:color="auto"/>
            </w:tcBorders>
            <w:shd w:val="clear" w:color="auto" w:fill="auto"/>
            <w:noWrap/>
            <w:vAlign w:val="bottom"/>
            <w:hideMark/>
          </w:tcPr>
          <w:p w14:paraId="2233871E"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514" w:type="pct"/>
            <w:tcBorders>
              <w:top w:val="single" w:sz="4" w:space="0" w:color="auto"/>
            </w:tcBorders>
            <w:shd w:val="clear" w:color="auto" w:fill="auto"/>
            <w:noWrap/>
            <w:vAlign w:val="bottom"/>
            <w:hideMark/>
          </w:tcPr>
          <w:p w14:paraId="2DD35D85"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458" w:type="pct"/>
            <w:tcBorders>
              <w:top w:val="single" w:sz="4" w:space="0" w:color="auto"/>
              <w:right w:val="nil"/>
            </w:tcBorders>
            <w:shd w:val="clear" w:color="auto" w:fill="auto"/>
            <w:noWrap/>
            <w:vAlign w:val="bottom"/>
            <w:hideMark/>
          </w:tcPr>
          <w:p w14:paraId="20B78611"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547" w:type="pct"/>
            <w:tcBorders>
              <w:top w:val="single" w:sz="4" w:space="0" w:color="auto"/>
              <w:left w:val="nil"/>
              <w:bottom w:val="nil"/>
            </w:tcBorders>
            <w:shd w:val="clear" w:color="auto" w:fill="auto"/>
            <w:noWrap/>
            <w:vAlign w:val="bottom"/>
            <w:hideMark/>
          </w:tcPr>
          <w:p w14:paraId="7F03F35E" w14:textId="010D940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Week</w:t>
            </w:r>
          </w:p>
        </w:tc>
        <w:tc>
          <w:tcPr>
            <w:tcW w:w="494" w:type="pct"/>
            <w:tcBorders>
              <w:top w:val="single" w:sz="4" w:space="0" w:color="auto"/>
            </w:tcBorders>
            <w:shd w:val="clear" w:color="auto" w:fill="auto"/>
            <w:noWrap/>
            <w:vAlign w:val="bottom"/>
            <w:hideMark/>
          </w:tcPr>
          <w:p w14:paraId="559C65BE"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443" w:type="pct"/>
            <w:tcBorders>
              <w:top w:val="single" w:sz="4" w:space="0" w:color="auto"/>
            </w:tcBorders>
            <w:shd w:val="clear" w:color="auto" w:fill="auto"/>
            <w:noWrap/>
            <w:vAlign w:val="bottom"/>
            <w:hideMark/>
          </w:tcPr>
          <w:p w14:paraId="6BF808F5"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514" w:type="pct"/>
            <w:tcBorders>
              <w:top w:val="single" w:sz="4" w:space="0" w:color="auto"/>
            </w:tcBorders>
            <w:shd w:val="clear" w:color="auto" w:fill="auto"/>
            <w:noWrap/>
            <w:vAlign w:val="bottom"/>
            <w:hideMark/>
          </w:tcPr>
          <w:p w14:paraId="257C7E2A"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494" w:type="pct"/>
            <w:tcBorders>
              <w:top w:val="single" w:sz="4" w:space="0" w:color="auto"/>
            </w:tcBorders>
            <w:shd w:val="clear" w:color="auto" w:fill="auto"/>
            <w:noWrap/>
            <w:vAlign w:val="bottom"/>
            <w:hideMark/>
          </w:tcPr>
          <w:p w14:paraId="3400DF1C"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r>
      <w:tr w:rsidR="00D2365E" w:rsidRPr="006B28C1" w14:paraId="7A72D533" w14:textId="77777777" w:rsidTr="00D2365E">
        <w:trPr>
          <w:trHeight w:val="297"/>
        </w:trPr>
        <w:tc>
          <w:tcPr>
            <w:tcW w:w="546" w:type="pct"/>
            <w:shd w:val="clear" w:color="auto" w:fill="auto"/>
            <w:noWrap/>
            <w:vAlign w:val="bottom"/>
            <w:hideMark/>
          </w:tcPr>
          <w:p w14:paraId="73C63AA5" w14:textId="2A0BB8D2"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w:t>
            </w:r>
          </w:p>
        </w:tc>
        <w:tc>
          <w:tcPr>
            <w:tcW w:w="494" w:type="pct"/>
            <w:shd w:val="clear" w:color="auto" w:fill="auto"/>
            <w:noWrap/>
            <w:vAlign w:val="bottom"/>
            <w:hideMark/>
          </w:tcPr>
          <w:p w14:paraId="16C4B212"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100</w:t>
            </w:r>
          </w:p>
        </w:tc>
        <w:tc>
          <w:tcPr>
            <w:tcW w:w="494" w:type="pct"/>
            <w:shd w:val="clear" w:color="auto" w:fill="auto"/>
            <w:noWrap/>
            <w:vAlign w:val="bottom"/>
            <w:hideMark/>
          </w:tcPr>
          <w:p w14:paraId="12F02632"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w:t>
            </w:r>
          </w:p>
        </w:tc>
        <w:tc>
          <w:tcPr>
            <w:tcW w:w="514" w:type="pct"/>
            <w:shd w:val="clear" w:color="auto" w:fill="auto"/>
            <w:noWrap/>
            <w:vAlign w:val="bottom"/>
            <w:hideMark/>
          </w:tcPr>
          <w:p w14:paraId="21F614D9"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w:t>
            </w:r>
          </w:p>
        </w:tc>
        <w:tc>
          <w:tcPr>
            <w:tcW w:w="458" w:type="pct"/>
            <w:tcBorders>
              <w:right w:val="nil"/>
            </w:tcBorders>
            <w:shd w:val="clear" w:color="auto" w:fill="auto"/>
            <w:noWrap/>
            <w:vAlign w:val="bottom"/>
            <w:hideMark/>
          </w:tcPr>
          <w:p w14:paraId="788A83A6"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w:t>
            </w:r>
          </w:p>
        </w:tc>
        <w:tc>
          <w:tcPr>
            <w:tcW w:w="547" w:type="pct"/>
            <w:tcBorders>
              <w:top w:val="nil"/>
              <w:left w:val="nil"/>
              <w:bottom w:val="nil"/>
            </w:tcBorders>
            <w:shd w:val="clear" w:color="auto" w:fill="auto"/>
            <w:noWrap/>
            <w:vAlign w:val="bottom"/>
            <w:hideMark/>
          </w:tcPr>
          <w:p w14:paraId="4E531517" w14:textId="46C7D92F"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w:t>
            </w:r>
          </w:p>
        </w:tc>
        <w:tc>
          <w:tcPr>
            <w:tcW w:w="494" w:type="pct"/>
            <w:shd w:val="clear" w:color="auto" w:fill="auto"/>
            <w:noWrap/>
            <w:vAlign w:val="bottom"/>
            <w:hideMark/>
          </w:tcPr>
          <w:p w14:paraId="645CE639"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9.46</w:t>
            </w:r>
          </w:p>
        </w:tc>
        <w:tc>
          <w:tcPr>
            <w:tcW w:w="443" w:type="pct"/>
            <w:shd w:val="clear" w:color="auto" w:fill="auto"/>
            <w:noWrap/>
            <w:vAlign w:val="bottom"/>
            <w:hideMark/>
          </w:tcPr>
          <w:p w14:paraId="5AF914DD"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2.05</w:t>
            </w:r>
          </w:p>
        </w:tc>
        <w:tc>
          <w:tcPr>
            <w:tcW w:w="514" w:type="pct"/>
            <w:shd w:val="clear" w:color="auto" w:fill="auto"/>
            <w:noWrap/>
            <w:vAlign w:val="bottom"/>
            <w:hideMark/>
          </w:tcPr>
          <w:p w14:paraId="20A23B4D"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88.50</w:t>
            </w:r>
          </w:p>
        </w:tc>
        <w:tc>
          <w:tcPr>
            <w:tcW w:w="494" w:type="pct"/>
            <w:shd w:val="clear" w:color="auto" w:fill="auto"/>
            <w:noWrap/>
            <w:vAlign w:val="bottom"/>
            <w:hideMark/>
          </w:tcPr>
          <w:p w14:paraId="0AC9CAB9"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0.00</w:t>
            </w:r>
          </w:p>
        </w:tc>
      </w:tr>
      <w:tr w:rsidR="00D2365E" w:rsidRPr="006B28C1" w14:paraId="1FAF908B" w14:textId="77777777" w:rsidTr="00D2365E">
        <w:trPr>
          <w:trHeight w:val="297"/>
        </w:trPr>
        <w:tc>
          <w:tcPr>
            <w:tcW w:w="546" w:type="pct"/>
            <w:shd w:val="clear" w:color="auto" w:fill="auto"/>
            <w:noWrap/>
            <w:vAlign w:val="bottom"/>
            <w:hideMark/>
          </w:tcPr>
          <w:p w14:paraId="560F03D6" w14:textId="7E4C5DB6"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4</w:t>
            </w:r>
          </w:p>
        </w:tc>
        <w:tc>
          <w:tcPr>
            <w:tcW w:w="494" w:type="pct"/>
            <w:shd w:val="clear" w:color="auto" w:fill="auto"/>
            <w:noWrap/>
            <w:vAlign w:val="bottom"/>
            <w:hideMark/>
          </w:tcPr>
          <w:p w14:paraId="19131E88"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98.78</w:t>
            </w:r>
          </w:p>
        </w:tc>
        <w:tc>
          <w:tcPr>
            <w:tcW w:w="494" w:type="pct"/>
            <w:shd w:val="clear" w:color="auto" w:fill="auto"/>
            <w:noWrap/>
            <w:vAlign w:val="bottom"/>
            <w:hideMark/>
          </w:tcPr>
          <w:p w14:paraId="0D870F91"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0.01</w:t>
            </w:r>
          </w:p>
        </w:tc>
        <w:tc>
          <w:tcPr>
            <w:tcW w:w="514" w:type="pct"/>
            <w:shd w:val="clear" w:color="auto" w:fill="auto"/>
            <w:noWrap/>
            <w:vAlign w:val="bottom"/>
            <w:hideMark/>
          </w:tcPr>
          <w:p w14:paraId="116CDE15"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0.16</w:t>
            </w:r>
          </w:p>
        </w:tc>
        <w:tc>
          <w:tcPr>
            <w:tcW w:w="458" w:type="pct"/>
            <w:tcBorders>
              <w:right w:val="nil"/>
            </w:tcBorders>
            <w:shd w:val="clear" w:color="auto" w:fill="auto"/>
            <w:noWrap/>
            <w:vAlign w:val="bottom"/>
            <w:hideMark/>
          </w:tcPr>
          <w:p w14:paraId="18908C25"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1.04</w:t>
            </w:r>
          </w:p>
        </w:tc>
        <w:tc>
          <w:tcPr>
            <w:tcW w:w="547" w:type="pct"/>
            <w:tcBorders>
              <w:top w:val="nil"/>
              <w:left w:val="nil"/>
              <w:bottom w:val="nil"/>
            </w:tcBorders>
            <w:shd w:val="clear" w:color="auto" w:fill="auto"/>
            <w:noWrap/>
            <w:vAlign w:val="bottom"/>
            <w:hideMark/>
          </w:tcPr>
          <w:p w14:paraId="796C527B" w14:textId="6B62CC0A"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4</w:t>
            </w:r>
          </w:p>
        </w:tc>
        <w:tc>
          <w:tcPr>
            <w:tcW w:w="494" w:type="pct"/>
            <w:shd w:val="clear" w:color="auto" w:fill="auto"/>
            <w:noWrap/>
            <w:vAlign w:val="bottom"/>
            <w:hideMark/>
          </w:tcPr>
          <w:p w14:paraId="4BA532D1"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15.80</w:t>
            </w:r>
          </w:p>
        </w:tc>
        <w:tc>
          <w:tcPr>
            <w:tcW w:w="443" w:type="pct"/>
            <w:shd w:val="clear" w:color="auto" w:fill="auto"/>
            <w:noWrap/>
            <w:vAlign w:val="bottom"/>
            <w:hideMark/>
          </w:tcPr>
          <w:p w14:paraId="1B9B58C4"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2.60</w:t>
            </w:r>
          </w:p>
        </w:tc>
        <w:tc>
          <w:tcPr>
            <w:tcW w:w="514" w:type="pct"/>
            <w:shd w:val="clear" w:color="auto" w:fill="auto"/>
            <w:noWrap/>
            <w:vAlign w:val="bottom"/>
            <w:hideMark/>
          </w:tcPr>
          <w:p w14:paraId="31A90CB4"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81.33</w:t>
            </w:r>
          </w:p>
        </w:tc>
        <w:tc>
          <w:tcPr>
            <w:tcW w:w="494" w:type="pct"/>
            <w:shd w:val="clear" w:color="auto" w:fill="auto"/>
            <w:noWrap/>
            <w:vAlign w:val="bottom"/>
            <w:hideMark/>
          </w:tcPr>
          <w:p w14:paraId="3D592364"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0.27</w:t>
            </w:r>
          </w:p>
        </w:tc>
      </w:tr>
      <w:tr w:rsidR="00D2365E" w:rsidRPr="006B28C1" w14:paraId="750A684C" w14:textId="77777777" w:rsidTr="00D2365E">
        <w:trPr>
          <w:trHeight w:val="297"/>
        </w:trPr>
        <w:tc>
          <w:tcPr>
            <w:tcW w:w="546" w:type="pct"/>
            <w:shd w:val="clear" w:color="auto" w:fill="auto"/>
            <w:noWrap/>
            <w:vAlign w:val="bottom"/>
            <w:hideMark/>
          </w:tcPr>
          <w:p w14:paraId="5E58BFB7" w14:textId="608E909A"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12</w:t>
            </w:r>
          </w:p>
        </w:tc>
        <w:tc>
          <w:tcPr>
            <w:tcW w:w="494" w:type="pct"/>
            <w:shd w:val="clear" w:color="auto" w:fill="auto"/>
            <w:noWrap/>
            <w:vAlign w:val="bottom"/>
            <w:hideMark/>
          </w:tcPr>
          <w:p w14:paraId="0DBFAE91"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96.23</w:t>
            </w:r>
          </w:p>
        </w:tc>
        <w:tc>
          <w:tcPr>
            <w:tcW w:w="494" w:type="pct"/>
            <w:shd w:val="clear" w:color="auto" w:fill="auto"/>
            <w:noWrap/>
            <w:vAlign w:val="bottom"/>
            <w:hideMark/>
          </w:tcPr>
          <w:p w14:paraId="0D98B769"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0.04</w:t>
            </w:r>
          </w:p>
        </w:tc>
        <w:tc>
          <w:tcPr>
            <w:tcW w:w="514" w:type="pct"/>
            <w:shd w:val="clear" w:color="auto" w:fill="auto"/>
            <w:noWrap/>
            <w:vAlign w:val="bottom"/>
            <w:hideMark/>
          </w:tcPr>
          <w:p w14:paraId="36C0FC9B"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0.82</w:t>
            </w:r>
          </w:p>
        </w:tc>
        <w:tc>
          <w:tcPr>
            <w:tcW w:w="458" w:type="pct"/>
            <w:tcBorders>
              <w:right w:val="nil"/>
            </w:tcBorders>
            <w:shd w:val="clear" w:color="auto" w:fill="auto"/>
            <w:noWrap/>
            <w:vAlign w:val="bottom"/>
            <w:hideMark/>
          </w:tcPr>
          <w:p w14:paraId="24A78866"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2.91</w:t>
            </w:r>
          </w:p>
        </w:tc>
        <w:tc>
          <w:tcPr>
            <w:tcW w:w="547" w:type="pct"/>
            <w:tcBorders>
              <w:top w:val="nil"/>
              <w:left w:val="nil"/>
              <w:bottom w:val="nil"/>
            </w:tcBorders>
            <w:shd w:val="clear" w:color="auto" w:fill="auto"/>
            <w:noWrap/>
            <w:vAlign w:val="bottom"/>
            <w:hideMark/>
          </w:tcPr>
          <w:p w14:paraId="3463BC11" w14:textId="0790DF80"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12</w:t>
            </w:r>
          </w:p>
        </w:tc>
        <w:tc>
          <w:tcPr>
            <w:tcW w:w="494" w:type="pct"/>
            <w:shd w:val="clear" w:color="auto" w:fill="auto"/>
            <w:noWrap/>
            <w:vAlign w:val="bottom"/>
            <w:hideMark/>
          </w:tcPr>
          <w:p w14:paraId="7132A7BF"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18.09</w:t>
            </w:r>
          </w:p>
        </w:tc>
        <w:tc>
          <w:tcPr>
            <w:tcW w:w="443" w:type="pct"/>
            <w:shd w:val="clear" w:color="auto" w:fill="auto"/>
            <w:noWrap/>
            <w:vAlign w:val="bottom"/>
            <w:hideMark/>
          </w:tcPr>
          <w:p w14:paraId="3F5A46D8"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2.84</w:t>
            </w:r>
          </w:p>
        </w:tc>
        <w:tc>
          <w:tcPr>
            <w:tcW w:w="514" w:type="pct"/>
            <w:shd w:val="clear" w:color="auto" w:fill="auto"/>
            <w:noWrap/>
            <w:vAlign w:val="bottom"/>
            <w:hideMark/>
          </w:tcPr>
          <w:p w14:paraId="055C9B13"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78.67</w:t>
            </w:r>
          </w:p>
        </w:tc>
        <w:tc>
          <w:tcPr>
            <w:tcW w:w="494" w:type="pct"/>
            <w:shd w:val="clear" w:color="auto" w:fill="auto"/>
            <w:noWrap/>
            <w:vAlign w:val="bottom"/>
            <w:hideMark/>
          </w:tcPr>
          <w:p w14:paraId="4CB5C9C5"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0.40</w:t>
            </w:r>
          </w:p>
        </w:tc>
      </w:tr>
      <w:tr w:rsidR="00D2365E" w:rsidRPr="006B28C1" w14:paraId="6814FBBD" w14:textId="77777777" w:rsidTr="00D2365E">
        <w:trPr>
          <w:trHeight w:val="297"/>
        </w:trPr>
        <w:tc>
          <w:tcPr>
            <w:tcW w:w="546" w:type="pct"/>
            <w:shd w:val="clear" w:color="auto" w:fill="auto"/>
            <w:noWrap/>
            <w:vAlign w:val="bottom"/>
            <w:hideMark/>
          </w:tcPr>
          <w:p w14:paraId="3F03ACFF" w14:textId="51C0FED9"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21</w:t>
            </w:r>
          </w:p>
        </w:tc>
        <w:tc>
          <w:tcPr>
            <w:tcW w:w="494" w:type="pct"/>
            <w:shd w:val="clear" w:color="auto" w:fill="auto"/>
            <w:noWrap/>
            <w:vAlign w:val="bottom"/>
            <w:hideMark/>
          </w:tcPr>
          <w:p w14:paraId="0B107BEC"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92.49</w:t>
            </w:r>
          </w:p>
        </w:tc>
        <w:tc>
          <w:tcPr>
            <w:tcW w:w="494" w:type="pct"/>
            <w:shd w:val="clear" w:color="auto" w:fill="auto"/>
            <w:noWrap/>
            <w:vAlign w:val="bottom"/>
            <w:hideMark/>
          </w:tcPr>
          <w:p w14:paraId="126EB294"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0.08</w:t>
            </w:r>
          </w:p>
        </w:tc>
        <w:tc>
          <w:tcPr>
            <w:tcW w:w="514" w:type="pct"/>
            <w:shd w:val="clear" w:color="auto" w:fill="auto"/>
            <w:noWrap/>
            <w:vAlign w:val="bottom"/>
            <w:hideMark/>
          </w:tcPr>
          <w:p w14:paraId="3BC580D4"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2.72</w:t>
            </w:r>
          </w:p>
        </w:tc>
        <w:tc>
          <w:tcPr>
            <w:tcW w:w="458" w:type="pct"/>
            <w:tcBorders>
              <w:right w:val="nil"/>
            </w:tcBorders>
            <w:shd w:val="clear" w:color="auto" w:fill="auto"/>
            <w:noWrap/>
            <w:vAlign w:val="bottom"/>
            <w:hideMark/>
          </w:tcPr>
          <w:p w14:paraId="22EC0D2C"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4.71</w:t>
            </w:r>
          </w:p>
        </w:tc>
        <w:tc>
          <w:tcPr>
            <w:tcW w:w="547" w:type="pct"/>
            <w:tcBorders>
              <w:top w:val="nil"/>
              <w:left w:val="nil"/>
              <w:bottom w:val="nil"/>
            </w:tcBorders>
            <w:shd w:val="clear" w:color="auto" w:fill="auto"/>
            <w:noWrap/>
            <w:vAlign w:val="bottom"/>
            <w:hideMark/>
          </w:tcPr>
          <w:p w14:paraId="250BFE07" w14:textId="74FCDA1B"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21</w:t>
            </w:r>
          </w:p>
        </w:tc>
        <w:tc>
          <w:tcPr>
            <w:tcW w:w="494" w:type="pct"/>
            <w:shd w:val="clear" w:color="auto" w:fill="auto"/>
            <w:noWrap/>
            <w:vAlign w:val="bottom"/>
            <w:hideMark/>
          </w:tcPr>
          <w:p w14:paraId="581D1168"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19.19</w:t>
            </w:r>
          </w:p>
        </w:tc>
        <w:tc>
          <w:tcPr>
            <w:tcW w:w="443" w:type="pct"/>
            <w:shd w:val="clear" w:color="auto" w:fill="auto"/>
            <w:noWrap/>
            <w:vAlign w:val="bottom"/>
            <w:hideMark/>
          </w:tcPr>
          <w:p w14:paraId="6E31ABD4"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2.95</w:t>
            </w:r>
          </w:p>
        </w:tc>
        <w:tc>
          <w:tcPr>
            <w:tcW w:w="514" w:type="pct"/>
            <w:shd w:val="clear" w:color="auto" w:fill="auto"/>
            <w:noWrap/>
            <w:vAlign w:val="bottom"/>
            <w:hideMark/>
          </w:tcPr>
          <w:p w14:paraId="0299D72F"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77.37</w:t>
            </w:r>
          </w:p>
        </w:tc>
        <w:tc>
          <w:tcPr>
            <w:tcW w:w="494" w:type="pct"/>
            <w:shd w:val="clear" w:color="auto" w:fill="auto"/>
            <w:noWrap/>
            <w:vAlign w:val="bottom"/>
            <w:hideMark/>
          </w:tcPr>
          <w:p w14:paraId="62E0E097"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0.49</w:t>
            </w:r>
          </w:p>
        </w:tc>
      </w:tr>
      <w:tr w:rsidR="00D2365E" w:rsidRPr="006B28C1" w14:paraId="40C519FB" w14:textId="77777777" w:rsidTr="00D2365E">
        <w:trPr>
          <w:trHeight w:val="297"/>
        </w:trPr>
        <w:tc>
          <w:tcPr>
            <w:tcW w:w="546" w:type="pct"/>
            <w:tcBorders>
              <w:bottom w:val="single" w:sz="4" w:space="0" w:color="auto"/>
            </w:tcBorders>
            <w:shd w:val="clear" w:color="auto" w:fill="auto"/>
            <w:noWrap/>
            <w:vAlign w:val="bottom"/>
            <w:hideMark/>
          </w:tcPr>
          <w:p w14:paraId="13368EB7" w14:textId="654704C8"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52</w:t>
            </w:r>
          </w:p>
        </w:tc>
        <w:tc>
          <w:tcPr>
            <w:tcW w:w="494" w:type="pct"/>
            <w:tcBorders>
              <w:bottom w:val="single" w:sz="4" w:space="0" w:color="auto"/>
            </w:tcBorders>
            <w:shd w:val="clear" w:color="auto" w:fill="auto"/>
            <w:noWrap/>
            <w:vAlign w:val="bottom"/>
            <w:hideMark/>
          </w:tcPr>
          <w:p w14:paraId="2F0DB6EE"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83.87</w:t>
            </w:r>
          </w:p>
        </w:tc>
        <w:tc>
          <w:tcPr>
            <w:tcW w:w="494" w:type="pct"/>
            <w:tcBorders>
              <w:bottom w:val="single" w:sz="4" w:space="0" w:color="auto"/>
            </w:tcBorders>
            <w:shd w:val="clear" w:color="auto" w:fill="auto"/>
            <w:noWrap/>
            <w:vAlign w:val="bottom"/>
            <w:hideMark/>
          </w:tcPr>
          <w:p w14:paraId="3C2FA7FF"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0.16</w:t>
            </w:r>
          </w:p>
        </w:tc>
        <w:tc>
          <w:tcPr>
            <w:tcW w:w="514" w:type="pct"/>
            <w:tcBorders>
              <w:bottom w:val="single" w:sz="4" w:space="0" w:color="auto"/>
            </w:tcBorders>
            <w:shd w:val="clear" w:color="auto" w:fill="auto"/>
            <w:noWrap/>
            <w:vAlign w:val="bottom"/>
            <w:hideMark/>
          </w:tcPr>
          <w:p w14:paraId="0B4CABD2"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7.83</w:t>
            </w:r>
          </w:p>
        </w:tc>
        <w:tc>
          <w:tcPr>
            <w:tcW w:w="458" w:type="pct"/>
            <w:tcBorders>
              <w:bottom w:val="single" w:sz="4" w:space="0" w:color="auto"/>
              <w:right w:val="nil"/>
            </w:tcBorders>
            <w:shd w:val="clear" w:color="auto" w:fill="auto"/>
            <w:noWrap/>
            <w:vAlign w:val="bottom"/>
            <w:hideMark/>
          </w:tcPr>
          <w:p w14:paraId="17684406"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8.14</w:t>
            </w:r>
          </w:p>
        </w:tc>
        <w:tc>
          <w:tcPr>
            <w:tcW w:w="547" w:type="pct"/>
            <w:tcBorders>
              <w:top w:val="nil"/>
              <w:left w:val="nil"/>
              <w:bottom w:val="single" w:sz="4" w:space="0" w:color="auto"/>
            </w:tcBorders>
            <w:shd w:val="clear" w:color="auto" w:fill="auto"/>
            <w:noWrap/>
            <w:vAlign w:val="bottom"/>
            <w:hideMark/>
          </w:tcPr>
          <w:p w14:paraId="6C579F2D" w14:textId="2321460D"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52</w:t>
            </w:r>
          </w:p>
        </w:tc>
        <w:tc>
          <w:tcPr>
            <w:tcW w:w="494" w:type="pct"/>
            <w:tcBorders>
              <w:bottom w:val="single" w:sz="4" w:space="0" w:color="auto"/>
            </w:tcBorders>
            <w:shd w:val="clear" w:color="auto" w:fill="auto"/>
            <w:noWrap/>
            <w:vAlign w:val="bottom"/>
            <w:hideMark/>
          </w:tcPr>
          <w:p w14:paraId="78827D80"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20.75</w:t>
            </w:r>
          </w:p>
        </w:tc>
        <w:tc>
          <w:tcPr>
            <w:tcW w:w="443" w:type="pct"/>
            <w:tcBorders>
              <w:bottom w:val="single" w:sz="4" w:space="0" w:color="auto"/>
            </w:tcBorders>
            <w:shd w:val="clear" w:color="auto" w:fill="auto"/>
            <w:noWrap/>
            <w:vAlign w:val="bottom"/>
            <w:hideMark/>
          </w:tcPr>
          <w:p w14:paraId="411596F4"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3.08</w:t>
            </w:r>
          </w:p>
        </w:tc>
        <w:tc>
          <w:tcPr>
            <w:tcW w:w="514" w:type="pct"/>
            <w:tcBorders>
              <w:bottom w:val="single" w:sz="4" w:space="0" w:color="auto"/>
            </w:tcBorders>
            <w:shd w:val="clear" w:color="auto" w:fill="auto"/>
            <w:noWrap/>
            <w:vAlign w:val="bottom"/>
            <w:hideMark/>
          </w:tcPr>
          <w:p w14:paraId="744CE76E"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75.52</w:t>
            </w:r>
          </w:p>
        </w:tc>
        <w:tc>
          <w:tcPr>
            <w:tcW w:w="494" w:type="pct"/>
            <w:tcBorders>
              <w:bottom w:val="single" w:sz="4" w:space="0" w:color="auto"/>
            </w:tcBorders>
            <w:shd w:val="clear" w:color="auto" w:fill="auto"/>
            <w:noWrap/>
            <w:vAlign w:val="bottom"/>
            <w:hideMark/>
          </w:tcPr>
          <w:p w14:paraId="45574A2A" w14:textId="77777777"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0.64</w:t>
            </w:r>
          </w:p>
        </w:tc>
      </w:tr>
      <w:tr w:rsidR="00D2365E" w:rsidRPr="006B28C1" w14:paraId="14FE2A19" w14:textId="77777777" w:rsidTr="00D2365E">
        <w:trPr>
          <w:trHeight w:val="297"/>
        </w:trPr>
        <w:tc>
          <w:tcPr>
            <w:tcW w:w="2507" w:type="pct"/>
            <w:gridSpan w:val="5"/>
            <w:tcBorders>
              <w:top w:val="single" w:sz="4" w:space="0" w:color="auto"/>
              <w:bottom w:val="single" w:sz="4" w:space="0" w:color="auto"/>
              <w:right w:val="nil"/>
            </w:tcBorders>
            <w:shd w:val="clear" w:color="auto" w:fill="auto"/>
            <w:noWrap/>
            <w:vAlign w:val="bottom"/>
            <w:hideMark/>
          </w:tcPr>
          <w:p w14:paraId="64827B29" w14:textId="708F67C3"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Variance Decomposition of LPK:</w:t>
            </w:r>
          </w:p>
        </w:tc>
        <w:tc>
          <w:tcPr>
            <w:tcW w:w="2493" w:type="pct"/>
            <w:gridSpan w:val="5"/>
            <w:tcBorders>
              <w:top w:val="single" w:sz="4" w:space="0" w:color="auto"/>
              <w:left w:val="nil"/>
              <w:bottom w:val="single" w:sz="4" w:space="0" w:color="auto"/>
            </w:tcBorders>
            <w:shd w:val="clear" w:color="auto" w:fill="auto"/>
            <w:noWrap/>
            <w:vAlign w:val="bottom"/>
            <w:hideMark/>
          </w:tcPr>
          <w:p w14:paraId="4C4BDA2F" w14:textId="4E892D4C" w:rsidR="006B28C1" w:rsidRPr="006B28C1" w:rsidRDefault="006B28C1"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Variance Decomposition of LCN:</w:t>
            </w:r>
          </w:p>
        </w:tc>
      </w:tr>
      <w:tr w:rsidR="00E818E7" w:rsidRPr="006B28C1" w14:paraId="22DFDCD8" w14:textId="77777777" w:rsidTr="00046730">
        <w:trPr>
          <w:trHeight w:val="509"/>
        </w:trPr>
        <w:tc>
          <w:tcPr>
            <w:tcW w:w="546" w:type="pct"/>
            <w:vMerge w:val="restart"/>
            <w:tcBorders>
              <w:top w:val="single" w:sz="4" w:space="0" w:color="auto"/>
              <w:bottom w:val="single" w:sz="4" w:space="0" w:color="auto"/>
            </w:tcBorders>
            <w:shd w:val="clear" w:color="auto" w:fill="auto"/>
            <w:noWrap/>
            <w:hideMark/>
          </w:tcPr>
          <w:p w14:paraId="75A1BF92" w14:textId="1DA3EA46" w:rsidR="006B28C1" w:rsidRPr="006B28C1" w:rsidRDefault="006B28C1" w:rsidP="009E6088">
            <w:pPr>
              <w:spacing w:after="0" w:line="240" w:lineRule="auto"/>
              <w:rPr>
                <w:rFonts w:eastAsia="Times New Roman" w:cs="Times New Roman"/>
                <w:color w:val="000000"/>
                <w:sz w:val="18"/>
                <w:szCs w:val="18"/>
              </w:rPr>
            </w:pPr>
          </w:p>
        </w:tc>
        <w:tc>
          <w:tcPr>
            <w:tcW w:w="1961" w:type="pct"/>
            <w:gridSpan w:val="4"/>
            <w:vMerge w:val="restart"/>
            <w:tcBorders>
              <w:top w:val="single" w:sz="4" w:space="0" w:color="auto"/>
              <w:bottom w:val="single" w:sz="4" w:space="0" w:color="auto"/>
              <w:right w:val="nil"/>
            </w:tcBorders>
            <w:shd w:val="clear" w:color="auto" w:fill="auto"/>
            <w:hideMark/>
          </w:tcPr>
          <w:p w14:paraId="593F309C" w14:textId="77777777" w:rsidR="006B28C1" w:rsidRPr="006B28C1" w:rsidRDefault="006B28C1" w:rsidP="009E6088">
            <w:pPr>
              <w:spacing w:after="0" w:line="240" w:lineRule="auto"/>
              <w:rPr>
                <w:rFonts w:eastAsia="Times New Roman" w:cs="Times New Roman"/>
                <w:color w:val="000000"/>
                <w:sz w:val="18"/>
                <w:szCs w:val="18"/>
              </w:rPr>
            </w:pPr>
            <w:r w:rsidRPr="006B28C1">
              <w:rPr>
                <w:rFonts w:eastAsia="Times New Roman" w:cs="Times New Roman"/>
                <w:color w:val="000000"/>
                <w:sz w:val="18"/>
                <w:szCs w:val="18"/>
              </w:rPr>
              <w:t>% of forecasted variance which is described by changes in</w:t>
            </w:r>
          </w:p>
        </w:tc>
        <w:tc>
          <w:tcPr>
            <w:tcW w:w="547" w:type="pct"/>
            <w:vMerge w:val="restart"/>
            <w:tcBorders>
              <w:top w:val="single" w:sz="4" w:space="0" w:color="auto"/>
              <w:left w:val="nil"/>
              <w:bottom w:val="nil"/>
            </w:tcBorders>
            <w:shd w:val="clear" w:color="auto" w:fill="auto"/>
            <w:noWrap/>
            <w:hideMark/>
          </w:tcPr>
          <w:p w14:paraId="62176812" w14:textId="1AF722E7" w:rsidR="006B28C1" w:rsidRPr="006B28C1" w:rsidRDefault="006B28C1" w:rsidP="009E6088">
            <w:pPr>
              <w:spacing w:after="0" w:line="240" w:lineRule="auto"/>
              <w:rPr>
                <w:rFonts w:eastAsia="Times New Roman" w:cs="Times New Roman"/>
                <w:color w:val="000000"/>
                <w:sz w:val="18"/>
                <w:szCs w:val="18"/>
              </w:rPr>
            </w:pPr>
          </w:p>
        </w:tc>
        <w:tc>
          <w:tcPr>
            <w:tcW w:w="1946" w:type="pct"/>
            <w:gridSpan w:val="4"/>
            <w:vMerge w:val="restart"/>
            <w:tcBorders>
              <w:top w:val="single" w:sz="4" w:space="0" w:color="auto"/>
              <w:bottom w:val="single" w:sz="4" w:space="0" w:color="auto"/>
            </w:tcBorders>
            <w:shd w:val="clear" w:color="auto" w:fill="auto"/>
            <w:hideMark/>
          </w:tcPr>
          <w:p w14:paraId="37005594" w14:textId="77777777" w:rsidR="006B28C1" w:rsidRPr="006B28C1" w:rsidRDefault="006B28C1" w:rsidP="009E6088">
            <w:pPr>
              <w:spacing w:after="0" w:line="240" w:lineRule="auto"/>
              <w:rPr>
                <w:rFonts w:eastAsia="Times New Roman" w:cs="Times New Roman"/>
                <w:color w:val="000000"/>
                <w:sz w:val="18"/>
                <w:szCs w:val="18"/>
              </w:rPr>
            </w:pPr>
            <w:r w:rsidRPr="006B28C1">
              <w:rPr>
                <w:rFonts w:eastAsia="Times New Roman" w:cs="Times New Roman"/>
                <w:color w:val="000000"/>
                <w:sz w:val="18"/>
                <w:szCs w:val="18"/>
              </w:rPr>
              <w:t>% of forecasted variance which is described by changes in</w:t>
            </w:r>
          </w:p>
        </w:tc>
      </w:tr>
      <w:tr w:rsidR="00E818E7" w:rsidRPr="006B28C1" w14:paraId="261DF430" w14:textId="77777777" w:rsidTr="00046730">
        <w:trPr>
          <w:trHeight w:val="458"/>
        </w:trPr>
        <w:tc>
          <w:tcPr>
            <w:tcW w:w="546" w:type="pct"/>
            <w:vMerge/>
            <w:tcBorders>
              <w:top w:val="nil"/>
              <w:bottom w:val="single" w:sz="4" w:space="0" w:color="auto"/>
            </w:tcBorders>
            <w:vAlign w:val="center"/>
            <w:hideMark/>
          </w:tcPr>
          <w:p w14:paraId="0128084A" w14:textId="77777777" w:rsidR="006B28C1" w:rsidRPr="006B28C1" w:rsidRDefault="006B28C1" w:rsidP="009E6088">
            <w:pPr>
              <w:spacing w:after="0" w:line="240" w:lineRule="auto"/>
              <w:jc w:val="both"/>
              <w:rPr>
                <w:rFonts w:eastAsia="Times New Roman" w:cs="Times New Roman"/>
                <w:color w:val="000000"/>
                <w:sz w:val="18"/>
                <w:szCs w:val="18"/>
              </w:rPr>
            </w:pPr>
          </w:p>
        </w:tc>
        <w:tc>
          <w:tcPr>
            <w:tcW w:w="1961" w:type="pct"/>
            <w:gridSpan w:val="4"/>
            <w:vMerge/>
            <w:tcBorders>
              <w:bottom w:val="single" w:sz="4" w:space="0" w:color="auto"/>
              <w:right w:val="nil"/>
            </w:tcBorders>
            <w:vAlign w:val="center"/>
            <w:hideMark/>
          </w:tcPr>
          <w:p w14:paraId="77D2ACBC" w14:textId="77777777" w:rsidR="006B28C1" w:rsidRPr="006B28C1" w:rsidRDefault="006B28C1" w:rsidP="009E6088">
            <w:pPr>
              <w:spacing w:after="0" w:line="240" w:lineRule="auto"/>
              <w:jc w:val="both"/>
              <w:rPr>
                <w:rFonts w:eastAsia="Times New Roman" w:cs="Times New Roman"/>
                <w:color w:val="000000"/>
                <w:sz w:val="18"/>
                <w:szCs w:val="18"/>
              </w:rPr>
            </w:pPr>
          </w:p>
        </w:tc>
        <w:tc>
          <w:tcPr>
            <w:tcW w:w="547" w:type="pct"/>
            <w:vMerge/>
            <w:tcBorders>
              <w:top w:val="nil"/>
              <w:left w:val="nil"/>
              <w:bottom w:val="single" w:sz="4" w:space="0" w:color="auto"/>
            </w:tcBorders>
            <w:vAlign w:val="center"/>
            <w:hideMark/>
          </w:tcPr>
          <w:p w14:paraId="07F388ED" w14:textId="77777777" w:rsidR="006B28C1" w:rsidRPr="006B28C1" w:rsidRDefault="006B28C1" w:rsidP="009E6088">
            <w:pPr>
              <w:spacing w:after="0" w:line="240" w:lineRule="auto"/>
              <w:jc w:val="both"/>
              <w:rPr>
                <w:rFonts w:eastAsia="Times New Roman" w:cs="Times New Roman"/>
                <w:color w:val="000000"/>
                <w:sz w:val="18"/>
                <w:szCs w:val="18"/>
              </w:rPr>
            </w:pPr>
          </w:p>
        </w:tc>
        <w:tc>
          <w:tcPr>
            <w:tcW w:w="1946" w:type="pct"/>
            <w:gridSpan w:val="4"/>
            <w:vMerge/>
            <w:tcBorders>
              <w:bottom w:val="single" w:sz="4" w:space="0" w:color="auto"/>
            </w:tcBorders>
            <w:vAlign w:val="center"/>
            <w:hideMark/>
          </w:tcPr>
          <w:p w14:paraId="24D8A425" w14:textId="77777777" w:rsidR="006B28C1" w:rsidRPr="006B28C1" w:rsidRDefault="006B28C1" w:rsidP="009E6088">
            <w:pPr>
              <w:spacing w:after="0" w:line="240" w:lineRule="auto"/>
              <w:jc w:val="both"/>
              <w:rPr>
                <w:rFonts w:eastAsia="Times New Roman" w:cs="Times New Roman"/>
                <w:color w:val="000000"/>
                <w:sz w:val="18"/>
                <w:szCs w:val="18"/>
              </w:rPr>
            </w:pPr>
          </w:p>
        </w:tc>
      </w:tr>
      <w:tr w:rsidR="00D2365E" w:rsidRPr="006B28C1" w14:paraId="1236715B" w14:textId="77777777" w:rsidTr="00D2365E">
        <w:trPr>
          <w:trHeight w:val="297"/>
        </w:trPr>
        <w:tc>
          <w:tcPr>
            <w:tcW w:w="546" w:type="pct"/>
            <w:tcBorders>
              <w:top w:val="single" w:sz="4" w:space="0" w:color="auto"/>
              <w:bottom w:val="single" w:sz="4" w:space="0" w:color="auto"/>
            </w:tcBorders>
            <w:shd w:val="clear" w:color="auto" w:fill="auto"/>
            <w:noWrap/>
            <w:vAlign w:val="bottom"/>
            <w:hideMark/>
          </w:tcPr>
          <w:p w14:paraId="7E6B4DD6" w14:textId="07F0966E"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Period</w:t>
            </w:r>
          </w:p>
        </w:tc>
        <w:tc>
          <w:tcPr>
            <w:tcW w:w="494" w:type="pct"/>
            <w:tcBorders>
              <w:top w:val="single" w:sz="4" w:space="0" w:color="auto"/>
              <w:bottom w:val="single" w:sz="4" w:space="0" w:color="auto"/>
            </w:tcBorders>
            <w:shd w:val="clear" w:color="auto" w:fill="auto"/>
            <w:noWrap/>
            <w:vAlign w:val="bottom"/>
            <w:hideMark/>
          </w:tcPr>
          <w:p w14:paraId="75960C37"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LUK</w:t>
            </w:r>
          </w:p>
        </w:tc>
        <w:tc>
          <w:tcPr>
            <w:tcW w:w="494" w:type="pct"/>
            <w:tcBorders>
              <w:top w:val="single" w:sz="4" w:space="0" w:color="auto"/>
              <w:bottom w:val="single" w:sz="4" w:space="0" w:color="auto"/>
            </w:tcBorders>
            <w:shd w:val="clear" w:color="auto" w:fill="auto"/>
            <w:noWrap/>
            <w:vAlign w:val="bottom"/>
            <w:hideMark/>
          </w:tcPr>
          <w:p w14:paraId="185F9564"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LPK</w:t>
            </w:r>
          </w:p>
        </w:tc>
        <w:tc>
          <w:tcPr>
            <w:tcW w:w="514" w:type="pct"/>
            <w:tcBorders>
              <w:top w:val="single" w:sz="4" w:space="0" w:color="auto"/>
              <w:bottom w:val="single" w:sz="4" w:space="0" w:color="auto"/>
            </w:tcBorders>
            <w:shd w:val="clear" w:color="auto" w:fill="auto"/>
            <w:noWrap/>
            <w:vAlign w:val="bottom"/>
            <w:hideMark/>
          </w:tcPr>
          <w:p w14:paraId="25F2D71A"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LIND</w:t>
            </w:r>
          </w:p>
        </w:tc>
        <w:tc>
          <w:tcPr>
            <w:tcW w:w="458" w:type="pct"/>
            <w:tcBorders>
              <w:top w:val="single" w:sz="4" w:space="0" w:color="auto"/>
              <w:bottom w:val="single" w:sz="4" w:space="0" w:color="auto"/>
              <w:right w:val="nil"/>
            </w:tcBorders>
            <w:shd w:val="clear" w:color="auto" w:fill="auto"/>
            <w:noWrap/>
            <w:vAlign w:val="bottom"/>
            <w:hideMark/>
          </w:tcPr>
          <w:p w14:paraId="7032B5A4"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LCN</w:t>
            </w:r>
          </w:p>
        </w:tc>
        <w:tc>
          <w:tcPr>
            <w:tcW w:w="547" w:type="pct"/>
            <w:tcBorders>
              <w:top w:val="single" w:sz="4" w:space="0" w:color="auto"/>
              <w:left w:val="nil"/>
              <w:bottom w:val="single" w:sz="4" w:space="0" w:color="auto"/>
            </w:tcBorders>
            <w:shd w:val="clear" w:color="auto" w:fill="auto"/>
            <w:noWrap/>
            <w:vAlign w:val="bottom"/>
            <w:hideMark/>
          </w:tcPr>
          <w:p w14:paraId="4B1D33BE" w14:textId="52897C33"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Period</w:t>
            </w:r>
          </w:p>
        </w:tc>
        <w:tc>
          <w:tcPr>
            <w:tcW w:w="494" w:type="pct"/>
            <w:tcBorders>
              <w:top w:val="single" w:sz="4" w:space="0" w:color="auto"/>
              <w:bottom w:val="single" w:sz="4" w:space="0" w:color="auto"/>
            </w:tcBorders>
            <w:shd w:val="clear" w:color="auto" w:fill="auto"/>
            <w:noWrap/>
            <w:vAlign w:val="bottom"/>
            <w:hideMark/>
          </w:tcPr>
          <w:p w14:paraId="3A56E9BF"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LUK</w:t>
            </w:r>
          </w:p>
        </w:tc>
        <w:tc>
          <w:tcPr>
            <w:tcW w:w="443" w:type="pct"/>
            <w:tcBorders>
              <w:top w:val="single" w:sz="4" w:space="0" w:color="auto"/>
              <w:bottom w:val="single" w:sz="4" w:space="0" w:color="auto"/>
            </w:tcBorders>
            <w:shd w:val="clear" w:color="auto" w:fill="auto"/>
            <w:noWrap/>
            <w:vAlign w:val="bottom"/>
            <w:hideMark/>
          </w:tcPr>
          <w:p w14:paraId="3352298A"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LPK</w:t>
            </w:r>
          </w:p>
        </w:tc>
        <w:tc>
          <w:tcPr>
            <w:tcW w:w="514" w:type="pct"/>
            <w:tcBorders>
              <w:top w:val="single" w:sz="4" w:space="0" w:color="auto"/>
              <w:bottom w:val="single" w:sz="4" w:space="0" w:color="auto"/>
            </w:tcBorders>
            <w:shd w:val="clear" w:color="auto" w:fill="auto"/>
            <w:noWrap/>
            <w:vAlign w:val="bottom"/>
            <w:hideMark/>
          </w:tcPr>
          <w:p w14:paraId="72107536"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LIND</w:t>
            </w:r>
          </w:p>
        </w:tc>
        <w:tc>
          <w:tcPr>
            <w:tcW w:w="494" w:type="pct"/>
            <w:tcBorders>
              <w:top w:val="single" w:sz="4" w:space="0" w:color="auto"/>
              <w:bottom w:val="single" w:sz="4" w:space="0" w:color="auto"/>
            </w:tcBorders>
            <w:shd w:val="clear" w:color="auto" w:fill="auto"/>
            <w:noWrap/>
            <w:vAlign w:val="bottom"/>
            <w:hideMark/>
          </w:tcPr>
          <w:p w14:paraId="7C6D8FE6"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LCN</w:t>
            </w:r>
          </w:p>
        </w:tc>
      </w:tr>
      <w:tr w:rsidR="00D2365E" w:rsidRPr="006B28C1" w14:paraId="70759FEF" w14:textId="77777777" w:rsidTr="00D2365E">
        <w:trPr>
          <w:trHeight w:val="297"/>
        </w:trPr>
        <w:tc>
          <w:tcPr>
            <w:tcW w:w="546" w:type="pct"/>
            <w:tcBorders>
              <w:top w:val="single" w:sz="4" w:space="0" w:color="auto"/>
              <w:bottom w:val="single" w:sz="4" w:space="0" w:color="auto"/>
            </w:tcBorders>
            <w:shd w:val="clear" w:color="auto" w:fill="auto"/>
            <w:noWrap/>
            <w:vAlign w:val="bottom"/>
            <w:hideMark/>
          </w:tcPr>
          <w:p w14:paraId="2854DF72" w14:textId="00F48DEA"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Week</w:t>
            </w:r>
          </w:p>
        </w:tc>
        <w:tc>
          <w:tcPr>
            <w:tcW w:w="494" w:type="pct"/>
            <w:tcBorders>
              <w:top w:val="single" w:sz="4" w:space="0" w:color="auto"/>
              <w:bottom w:val="single" w:sz="4" w:space="0" w:color="auto"/>
            </w:tcBorders>
            <w:shd w:val="clear" w:color="auto" w:fill="auto"/>
            <w:noWrap/>
            <w:vAlign w:val="bottom"/>
            <w:hideMark/>
          </w:tcPr>
          <w:p w14:paraId="5B0CDD1F"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494" w:type="pct"/>
            <w:tcBorders>
              <w:top w:val="single" w:sz="4" w:space="0" w:color="auto"/>
              <w:bottom w:val="single" w:sz="4" w:space="0" w:color="auto"/>
            </w:tcBorders>
            <w:shd w:val="clear" w:color="auto" w:fill="auto"/>
            <w:noWrap/>
            <w:vAlign w:val="bottom"/>
            <w:hideMark/>
          </w:tcPr>
          <w:p w14:paraId="178BDDC2"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514" w:type="pct"/>
            <w:tcBorders>
              <w:top w:val="single" w:sz="4" w:space="0" w:color="auto"/>
              <w:bottom w:val="single" w:sz="4" w:space="0" w:color="auto"/>
            </w:tcBorders>
            <w:shd w:val="clear" w:color="auto" w:fill="auto"/>
            <w:noWrap/>
            <w:vAlign w:val="bottom"/>
            <w:hideMark/>
          </w:tcPr>
          <w:p w14:paraId="6BC719BD"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458" w:type="pct"/>
            <w:tcBorders>
              <w:top w:val="single" w:sz="4" w:space="0" w:color="auto"/>
              <w:bottom w:val="single" w:sz="4" w:space="0" w:color="auto"/>
              <w:right w:val="nil"/>
            </w:tcBorders>
            <w:shd w:val="clear" w:color="auto" w:fill="auto"/>
            <w:noWrap/>
            <w:vAlign w:val="bottom"/>
            <w:hideMark/>
          </w:tcPr>
          <w:p w14:paraId="503365B0"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547" w:type="pct"/>
            <w:tcBorders>
              <w:top w:val="single" w:sz="4" w:space="0" w:color="auto"/>
              <w:left w:val="nil"/>
              <w:bottom w:val="single" w:sz="4" w:space="0" w:color="auto"/>
            </w:tcBorders>
            <w:shd w:val="clear" w:color="auto" w:fill="auto"/>
            <w:noWrap/>
            <w:vAlign w:val="bottom"/>
            <w:hideMark/>
          </w:tcPr>
          <w:p w14:paraId="0461A8D2" w14:textId="21BB48CD"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Week</w:t>
            </w:r>
          </w:p>
        </w:tc>
        <w:tc>
          <w:tcPr>
            <w:tcW w:w="494" w:type="pct"/>
            <w:tcBorders>
              <w:top w:val="single" w:sz="4" w:space="0" w:color="auto"/>
              <w:bottom w:val="single" w:sz="4" w:space="0" w:color="auto"/>
            </w:tcBorders>
            <w:shd w:val="clear" w:color="auto" w:fill="auto"/>
            <w:noWrap/>
            <w:vAlign w:val="bottom"/>
            <w:hideMark/>
          </w:tcPr>
          <w:p w14:paraId="31963FD4"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443" w:type="pct"/>
            <w:tcBorders>
              <w:top w:val="single" w:sz="4" w:space="0" w:color="auto"/>
              <w:bottom w:val="single" w:sz="4" w:space="0" w:color="auto"/>
            </w:tcBorders>
            <w:shd w:val="clear" w:color="auto" w:fill="auto"/>
            <w:noWrap/>
            <w:vAlign w:val="bottom"/>
            <w:hideMark/>
          </w:tcPr>
          <w:p w14:paraId="6C1B830D"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514" w:type="pct"/>
            <w:tcBorders>
              <w:top w:val="single" w:sz="4" w:space="0" w:color="auto"/>
              <w:bottom w:val="single" w:sz="4" w:space="0" w:color="auto"/>
            </w:tcBorders>
            <w:shd w:val="clear" w:color="auto" w:fill="auto"/>
            <w:noWrap/>
            <w:vAlign w:val="bottom"/>
            <w:hideMark/>
          </w:tcPr>
          <w:p w14:paraId="767F7E29"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c>
          <w:tcPr>
            <w:tcW w:w="494" w:type="pct"/>
            <w:tcBorders>
              <w:top w:val="single" w:sz="4" w:space="0" w:color="auto"/>
              <w:bottom w:val="single" w:sz="4" w:space="0" w:color="auto"/>
            </w:tcBorders>
            <w:shd w:val="clear" w:color="auto" w:fill="auto"/>
            <w:noWrap/>
            <w:vAlign w:val="bottom"/>
            <w:hideMark/>
          </w:tcPr>
          <w:p w14:paraId="1417CF3A"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 </w:t>
            </w:r>
          </w:p>
        </w:tc>
      </w:tr>
      <w:tr w:rsidR="009E6088" w:rsidRPr="006B28C1" w14:paraId="53F3E3A6" w14:textId="77777777" w:rsidTr="00D2365E">
        <w:trPr>
          <w:trHeight w:val="297"/>
        </w:trPr>
        <w:tc>
          <w:tcPr>
            <w:tcW w:w="546" w:type="pct"/>
            <w:tcBorders>
              <w:top w:val="single" w:sz="4" w:space="0" w:color="auto"/>
            </w:tcBorders>
            <w:shd w:val="clear" w:color="auto" w:fill="auto"/>
            <w:noWrap/>
            <w:vAlign w:val="bottom"/>
            <w:hideMark/>
          </w:tcPr>
          <w:p w14:paraId="7F4D39B2" w14:textId="61A3440F"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w:t>
            </w:r>
          </w:p>
        </w:tc>
        <w:tc>
          <w:tcPr>
            <w:tcW w:w="494" w:type="pct"/>
            <w:tcBorders>
              <w:top w:val="single" w:sz="4" w:space="0" w:color="auto"/>
            </w:tcBorders>
            <w:shd w:val="clear" w:color="auto" w:fill="auto"/>
            <w:noWrap/>
            <w:vAlign w:val="bottom"/>
            <w:hideMark/>
          </w:tcPr>
          <w:p w14:paraId="50AB67DC"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0.15</w:t>
            </w:r>
          </w:p>
        </w:tc>
        <w:tc>
          <w:tcPr>
            <w:tcW w:w="494" w:type="pct"/>
            <w:tcBorders>
              <w:top w:val="single" w:sz="4" w:space="0" w:color="auto"/>
            </w:tcBorders>
            <w:shd w:val="clear" w:color="auto" w:fill="auto"/>
            <w:noWrap/>
            <w:vAlign w:val="bottom"/>
            <w:hideMark/>
          </w:tcPr>
          <w:p w14:paraId="5ABC490C"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99.85</w:t>
            </w:r>
          </w:p>
        </w:tc>
        <w:tc>
          <w:tcPr>
            <w:tcW w:w="514" w:type="pct"/>
            <w:tcBorders>
              <w:top w:val="single" w:sz="4" w:space="0" w:color="auto"/>
            </w:tcBorders>
            <w:shd w:val="clear" w:color="auto" w:fill="auto"/>
            <w:noWrap/>
            <w:vAlign w:val="bottom"/>
            <w:hideMark/>
          </w:tcPr>
          <w:p w14:paraId="044B414E"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0.00</w:t>
            </w:r>
          </w:p>
        </w:tc>
        <w:tc>
          <w:tcPr>
            <w:tcW w:w="458" w:type="pct"/>
            <w:tcBorders>
              <w:top w:val="single" w:sz="4" w:space="0" w:color="auto"/>
            </w:tcBorders>
            <w:shd w:val="clear" w:color="auto" w:fill="auto"/>
            <w:noWrap/>
            <w:vAlign w:val="bottom"/>
            <w:hideMark/>
          </w:tcPr>
          <w:p w14:paraId="56150F0C"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0.00</w:t>
            </w:r>
          </w:p>
        </w:tc>
        <w:tc>
          <w:tcPr>
            <w:tcW w:w="547" w:type="pct"/>
            <w:tcBorders>
              <w:top w:val="single" w:sz="4" w:space="0" w:color="auto"/>
            </w:tcBorders>
            <w:shd w:val="clear" w:color="auto" w:fill="auto"/>
            <w:noWrap/>
            <w:vAlign w:val="bottom"/>
            <w:hideMark/>
          </w:tcPr>
          <w:p w14:paraId="4B4C4630" w14:textId="670660AD"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w:t>
            </w:r>
          </w:p>
        </w:tc>
        <w:tc>
          <w:tcPr>
            <w:tcW w:w="494" w:type="pct"/>
            <w:tcBorders>
              <w:top w:val="single" w:sz="4" w:space="0" w:color="auto"/>
            </w:tcBorders>
            <w:shd w:val="clear" w:color="auto" w:fill="auto"/>
            <w:noWrap/>
            <w:vAlign w:val="bottom"/>
            <w:hideMark/>
          </w:tcPr>
          <w:p w14:paraId="482D8C29"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0.07</w:t>
            </w:r>
          </w:p>
        </w:tc>
        <w:tc>
          <w:tcPr>
            <w:tcW w:w="443" w:type="pct"/>
            <w:tcBorders>
              <w:top w:val="single" w:sz="4" w:space="0" w:color="auto"/>
            </w:tcBorders>
            <w:shd w:val="clear" w:color="auto" w:fill="auto"/>
            <w:noWrap/>
            <w:vAlign w:val="bottom"/>
            <w:hideMark/>
          </w:tcPr>
          <w:p w14:paraId="1666C9E1"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0.89</w:t>
            </w:r>
          </w:p>
        </w:tc>
        <w:tc>
          <w:tcPr>
            <w:tcW w:w="514" w:type="pct"/>
            <w:tcBorders>
              <w:top w:val="single" w:sz="4" w:space="0" w:color="auto"/>
            </w:tcBorders>
            <w:shd w:val="clear" w:color="auto" w:fill="auto"/>
            <w:noWrap/>
            <w:vAlign w:val="bottom"/>
            <w:hideMark/>
          </w:tcPr>
          <w:p w14:paraId="005B6D12"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2.82</w:t>
            </w:r>
          </w:p>
        </w:tc>
        <w:tc>
          <w:tcPr>
            <w:tcW w:w="494" w:type="pct"/>
            <w:tcBorders>
              <w:top w:val="single" w:sz="4" w:space="0" w:color="auto"/>
            </w:tcBorders>
            <w:shd w:val="clear" w:color="auto" w:fill="auto"/>
            <w:noWrap/>
            <w:vAlign w:val="bottom"/>
            <w:hideMark/>
          </w:tcPr>
          <w:p w14:paraId="4E740515" w14:textId="77777777" w:rsidR="00E818E7" w:rsidRPr="006B28C1" w:rsidRDefault="00E818E7"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96.22</w:t>
            </w:r>
          </w:p>
        </w:tc>
      </w:tr>
      <w:tr w:rsidR="00D2365E" w:rsidRPr="006B28C1" w14:paraId="4E05ACD7" w14:textId="77777777" w:rsidTr="00D2365E">
        <w:trPr>
          <w:trHeight w:val="297"/>
        </w:trPr>
        <w:tc>
          <w:tcPr>
            <w:tcW w:w="546" w:type="pct"/>
            <w:shd w:val="clear" w:color="auto" w:fill="auto"/>
            <w:noWrap/>
            <w:vAlign w:val="bottom"/>
            <w:hideMark/>
          </w:tcPr>
          <w:p w14:paraId="6B459E45" w14:textId="06A3412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4</w:t>
            </w:r>
          </w:p>
        </w:tc>
        <w:tc>
          <w:tcPr>
            <w:tcW w:w="494" w:type="pct"/>
            <w:shd w:val="clear" w:color="auto" w:fill="auto"/>
            <w:noWrap/>
            <w:vAlign w:val="bottom"/>
            <w:hideMark/>
          </w:tcPr>
          <w:p w14:paraId="68D5ACDB"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0.36</w:t>
            </w:r>
          </w:p>
        </w:tc>
        <w:tc>
          <w:tcPr>
            <w:tcW w:w="494" w:type="pct"/>
            <w:shd w:val="clear" w:color="auto" w:fill="auto"/>
            <w:noWrap/>
            <w:vAlign w:val="bottom"/>
            <w:hideMark/>
          </w:tcPr>
          <w:p w14:paraId="68554E0F"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98.35</w:t>
            </w:r>
          </w:p>
        </w:tc>
        <w:tc>
          <w:tcPr>
            <w:tcW w:w="514" w:type="pct"/>
            <w:shd w:val="clear" w:color="auto" w:fill="auto"/>
            <w:noWrap/>
            <w:vAlign w:val="bottom"/>
            <w:hideMark/>
          </w:tcPr>
          <w:p w14:paraId="2BA082FF"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1.28</w:t>
            </w:r>
          </w:p>
        </w:tc>
        <w:tc>
          <w:tcPr>
            <w:tcW w:w="458" w:type="pct"/>
            <w:shd w:val="clear" w:color="auto" w:fill="auto"/>
            <w:noWrap/>
            <w:vAlign w:val="bottom"/>
            <w:hideMark/>
          </w:tcPr>
          <w:p w14:paraId="47CE398B"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0.02</w:t>
            </w:r>
          </w:p>
        </w:tc>
        <w:tc>
          <w:tcPr>
            <w:tcW w:w="547" w:type="pct"/>
            <w:shd w:val="clear" w:color="auto" w:fill="auto"/>
            <w:noWrap/>
            <w:vAlign w:val="bottom"/>
            <w:hideMark/>
          </w:tcPr>
          <w:p w14:paraId="18933229" w14:textId="668F9F0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4</w:t>
            </w:r>
          </w:p>
        </w:tc>
        <w:tc>
          <w:tcPr>
            <w:tcW w:w="494" w:type="pct"/>
            <w:shd w:val="clear" w:color="auto" w:fill="auto"/>
            <w:noWrap/>
            <w:vAlign w:val="bottom"/>
            <w:hideMark/>
          </w:tcPr>
          <w:p w14:paraId="61F810E8"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0.78</w:t>
            </w:r>
          </w:p>
        </w:tc>
        <w:tc>
          <w:tcPr>
            <w:tcW w:w="443" w:type="pct"/>
            <w:shd w:val="clear" w:color="auto" w:fill="auto"/>
            <w:noWrap/>
            <w:vAlign w:val="bottom"/>
            <w:hideMark/>
          </w:tcPr>
          <w:p w14:paraId="04AD6F19"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1.32</w:t>
            </w:r>
          </w:p>
        </w:tc>
        <w:tc>
          <w:tcPr>
            <w:tcW w:w="514" w:type="pct"/>
            <w:shd w:val="clear" w:color="auto" w:fill="auto"/>
            <w:noWrap/>
            <w:vAlign w:val="bottom"/>
            <w:hideMark/>
          </w:tcPr>
          <w:p w14:paraId="0C8BCB41"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7.94</w:t>
            </w:r>
          </w:p>
        </w:tc>
        <w:tc>
          <w:tcPr>
            <w:tcW w:w="494" w:type="pct"/>
            <w:shd w:val="clear" w:color="auto" w:fill="auto"/>
            <w:noWrap/>
            <w:vAlign w:val="bottom"/>
            <w:hideMark/>
          </w:tcPr>
          <w:p w14:paraId="6A0146CA"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89.97</w:t>
            </w:r>
          </w:p>
        </w:tc>
      </w:tr>
      <w:tr w:rsidR="00D2365E" w:rsidRPr="006B28C1" w14:paraId="2DCA3B08" w14:textId="77777777" w:rsidTr="00D2365E">
        <w:trPr>
          <w:trHeight w:val="297"/>
        </w:trPr>
        <w:tc>
          <w:tcPr>
            <w:tcW w:w="546" w:type="pct"/>
            <w:shd w:val="clear" w:color="auto" w:fill="auto"/>
            <w:noWrap/>
            <w:vAlign w:val="bottom"/>
            <w:hideMark/>
          </w:tcPr>
          <w:p w14:paraId="740D117C" w14:textId="215597F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12</w:t>
            </w:r>
          </w:p>
        </w:tc>
        <w:tc>
          <w:tcPr>
            <w:tcW w:w="494" w:type="pct"/>
            <w:shd w:val="clear" w:color="auto" w:fill="auto"/>
            <w:noWrap/>
            <w:vAlign w:val="bottom"/>
            <w:hideMark/>
          </w:tcPr>
          <w:p w14:paraId="3464BB48"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0.20</w:t>
            </w:r>
          </w:p>
        </w:tc>
        <w:tc>
          <w:tcPr>
            <w:tcW w:w="494" w:type="pct"/>
            <w:shd w:val="clear" w:color="auto" w:fill="auto"/>
            <w:noWrap/>
            <w:vAlign w:val="bottom"/>
            <w:hideMark/>
          </w:tcPr>
          <w:p w14:paraId="17718F1A"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94.14</w:t>
            </w:r>
          </w:p>
        </w:tc>
        <w:tc>
          <w:tcPr>
            <w:tcW w:w="514" w:type="pct"/>
            <w:shd w:val="clear" w:color="auto" w:fill="auto"/>
            <w:noWrap/>
            <w:vAlign w:val="bottom"/>
            <w:hideMark/>
          </w:tcPr>
          <w:p w14:paraId="7A8B9908"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5.38</w:t>
            </w:r>
          </w:p>
        </w:tc>
        <w:tc>
          <w:tcPr>
            <w:tcW w:w="458" w:type="pct"/>
            <w:shd w:val="clear" w:color="auto" w:fill="auto"/>
            <w:noWrap/>
            <w:vAlign w:val="bottom"/>
            <w:hideMark/>
          </w:tcPr>
          <w:p w14:paraId="587AB7C6"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0.28</w:t>
            </w:r>
          </w:p>
        </w:tc>
        <w:tc>
          <w:tcPr>
            <w:tcW w:w="547" w:type="pct"/>
            <w:shd w:val="clear" w:color="auto" w:fill="auto"/>
            <w:noWrap/>
            <w:vAlign w:val="bottom"/>
            <w:hideMark/>
          </w:tcPr>
          <w:p w14:paraId="5B4721D5" w14:textId="1A9373F4"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12</w:t>
            </w:r>
          </w:p>
        </w:tc>
        <w:tc>
          <w:tcPr>
            <w:tcW w:w="494" w:type="pct"/>
            <w:shd w:val="clear" w:color="auto" w:fill="auto"/>
            <w:noWrap/>
            <w:vAlign w:val="bottom"/>
            <w:hideMark/>
          </w:tcPr>
          <w:p w14:paraId="52E9DB51"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0.40</w:t>
            </w:r>
          </w:p>
        </w:tc>
        <w:tc>
          <w:tcPr>
            <w:tcW w:w="443" w:type="pct"/>
            <w:shd w:val="clear" w:color="auto" w:fill="auto"/>
            <w:noWrap/>
            <w:vAlign w:val="bottom"/>
            <w:hideMark/>
          </w:tcPr>
          <w:p w14:paraId="708FA4B0"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1.21</w:t>
            </w:r>
          </w:p>
        </w:tc>
        <w:tc>
          <w:tcPr>
            <w:tcW w:w="514" w:type="pct"/>
            <w:shd w:val="clear" w:color="auto" w:fill="auto"/>
            <w:noWrap/>
            <w:vAlign w:val="bottom"/>
            <w:hideMark/>
          </w:tcPr>
          <w:p w14:paraId="51ADF437"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19.78</w:t>
            </w:r>
          </w:p>
        </w:tc>
        <w:tc>
          <w:tcPr>
            <w:tcW w:w="494" w:type="pct"/>
            <w:shd w:val="clear" w:color="auto" w:fill="auto"/>
            <w:noWrap/>
            <w:vAlign w:val="bottom"/>
            <w:hideMark/>
          </w:tcPr>
          <w:p w14:paraId="197EBAA0"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78.60</w:t>
            </w:r>
          </w:p>
        </w:tc>
      </w:tr>
      <w:tr w:rsidR="00D2365E" w:rsidRPr="006B28C1" w14:paraId="5AC8BF5D" w14:textId="77777777" w:rsidTr="00D2365E">
        <w:trPr>
          <w:trHeight w:val="297"/>
        </w:trPr>
        <w:tc>
          <w:tcPr>
            <w:tcW w:w="546" w:type="pct"/>
            <w:shd w:val="clear" w:color="auto" w:fill="auto"/>
            <w:noWrap/>
            <w:vAlign w:val="bottom"/>
            <w:hideMark/>
          </w:tcPr>
          <w:p w14:paraId="49B3F375" w14:textId="67D597AE"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21</w:t>
            </w:r>
          </w:p>
        </w:tc>
        <w:tc>
          <w:tcPr>
            <w:tcW w:w="494" w:type="pct"/>
            <w:shd w:val="clear" w:color="auto" w:fill="auto"/>
            <w:noWrap/>
            <w:vAlign w:val="bottom"/>
            <w:hideMark/>
          </w:tcPr>
          <w:p w14:paraId="178FAD3E"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0.53</w:t>
            </w:r>
          </w:p>
        </w:tc>
        <w:tc>
          <w:tcPr>
            <w:tcW w:w="494" w:type="pct"/>
            <w:shd w:val="clear" w:color="auto" w:fill="auto"/>
            <w:noWrap/>
            <w:vAlign w:val="bottom"/>
            <w:hideMark/>
          </w:tcPr>
          <w:p w14:paraId="7DF5DFEA"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89.14</w:t>
            </w:r>
          </w:p>
        </w:tc>
        <w:tc>
          <w:tcPr>
            <w:tcW w:w="514" w:type="pct"/>
            <w:shd w:val="clear" w:color="auto" w:fill="auto"/>
            <w:noWrap/>
            <w:vAlign w:val="bottom"/>
            <w:hideMark/>
          </w:tcPr>
          <w:p w14:paraId="5C9BFD48"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9.53</w:t>
            </w:r>
          </w:p>
        </w:tc>
        <w:tc>
          <w:tcPr>
            <w:tcW w:w="458" w:type="pct"/>
            <w:shd w:val="clear" w:color="auto" w:fill="auto"/>
            <w:noWrap/>
            <w:vAlign w:val="bottom"/>
            <w:hideMark/>
          </w:tcPr>
          <w:p w14:paraId="675094F0"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0.80</w:t>
            </w:r>
          </w:p>
        </w:tc>
        <w:tc>
          <w:tcPr>
            <w:tcW w:w="547" w:type="pct"/>
            <w:shd w:val="clear" w:color="auto" w:fill="auto"/>
            <w:noWrap/>
            <w:vAlign w:val="bottom"/>
            <w:hideMark/>
          </w:tcPr>
          <w:p w14:paraId="50AD6A13" w14:textId="3E665785"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21</w:t>
            </w:r>
          </w:p>
        </w:tc>
        <w:tc>
          <w:tcPr>
            <w:tcW w:w="494" w:type="pct"/>
            <w:shd w:val="clear" w:color="auto" w:fill="auto"/>
            <w:noWrap/>
            <w:vAlign w:val="bottom"/>
            <w:hideMark/>
          </w:tcPr>
          <w:p w14:paraId="27CB30FF"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0.95</w:t>
            </w:r>
          </w:p>
        </w:tc>
        <w:tc>
          <w:tcPr>
            <w:tcW w:w="443" w:type="pct"/>
            <w:shd w:val="clear" w:color="auto" w:fill="auto"/>
            <w:noWrap/>
            <w:vAlign w:val="bottom"/>
            <w:hideMark/>
          </w:tcPr>
          <w:p w14:paraId="3923752A"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1.03</w:t>
            </w:r>
          </w:p>
        </w:tc>
        <w:tc>
          <w:tcPr>
            <w:tcW w:w="514" w:type="pct"/>
            <w:shd w:val="clear" w:color="auto" w:fill="auto"/>
            <w:noWrap/>
            <w:vAlign w:val="bottom"/>
            <w:hideMark/>
          </w:tcPr>
          <w:p w14:paraId="20528D86"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30.27</w:t>
            </w:r>
          </w:p>
        </w:tc>
        <w:tc>
          <w:tcPr>
            <w:tcW w:w="494" w:type="pct"/>
            <w:shd w:val="clear" w:color="auto" w:fill="auto"/>
            <w:noWrap/>
            <w:vAlign w:val="bottom"/>
            <w:hideMark/>
          </w:tcPr>
          <w:p w14:paraId="1A0C092D"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67.74</w:t>
            </w:r>
          </w:p>
        </w:tc>
      </w:tr>
      <w:tr w:rsidR="00D2365E" w:rsidRPr="006B28C1" w14:paraId="5A80F0C3" w14:textId="77777777" w:rsidTr="00D2365E">
        <w:trPr>
          <w:trHeight w:val="297"/>
        </w:trPr>
        <w:tc>
          <w:tcPr>
            <w:tcW w:w="546" w:type="pct"/>
            <w:shd w:val="clear" w:color="auto" w:fill="auto"/>
            <w:noWrap/>
            <w:vAlign w:val="bottom"/>
            <w:hideMark/>
          </w:tcPr>
          <w:p w14:paraId="6E2E0713" w14:textId="5B1DA7C1"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52</w:t>
            </w:r>
          </w:p>
        </w:tc>
        <w:tc>
          <w:tcPr>
            <w:tcW w:w="494" w:type="pct"/>
            <w:shd w:val="clear" w:color="auto" w:fill="auto"/>
            <w:noWrap/>
            <w:vAlign w:val="bottom"/>
            <w:hideMark/>
          </w:tcPr>
          <w:p w14:paraId="76D25CD5"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1.55</w:t>
            </w:r>
          </w:p>
        </w:tc>
        <w:tc>
          <w:tcPr>
            <w:tcW w:w="494" w:type="pct"/>
            <w:shd w:val="clear" w:color="auto" w:fill="auto"/>
            <w:noWrap/>
            <w:vAlign w:val="bottom"/>
            <w:hideMark/>
          </w:tcPr>
          <w:p w14:paraId="7F405E2C"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80.02</w:t>
            </w:r>
          </w:p>
        </w:tc>
        <w:tc>
          <w:tcPr>
            <w:tcW w:w="514" w:type="pct"/>
            <w:shd w:val="clear" w:color="auto" w:fill="auto"/>
            <w:noWrap/>
            <w:vAlign w:val="bottom"/>
            <w:hideMark/>
          </w:tcPr>
          <w:p w14:paraId="6369B57E"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16.55</w:t>
            </w:r>
          </w:p>
        </w:tc>
        <w:tc>
          <w:tcPr>
            <w:tcW w:w="458" w:type="pct"/>
            <w:shd w:val="clear" w:color="auto" w:fill="auto"/>
            <w:noWrap/>
            <w:vAlign w:val="bottom"/>
            <w:hideMark/>
          </w:tcPr>
          <w:p w14:paraId="6964982F"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1.88</w:t>
            </w:r>
          </w:p>
        </w:tc>
        <w:tc>
          <w:tcPr>
            <w:tcW w:w="547" w:type="pct"/>
            <w:shd w:val="clear" w:color="auto" w:fill="auto"/>
            <w:noWrap/>
            <w:vAlign w:val="bottom"/>
            <w:hideMark/>
          </w:tcPr>
          <w:p w14:paraId="35989D49" w14:textId="5511511D"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52</w:t>
            </w:r>
          </w:p>
        </w:tc>
        <w:tc>
          <w:tcPr>
            <w:tcW w:w="494" w:type="pct"/>
            <w:shd w:val="clear" w:color="auto" w:fill="auto"/>
            <w:noWrap/>
            <w:vAlign w:val="bottom"/>
            <w:hideMark/>
          </w:tcPr>
          <w:p w14:paraId="3AD6CDAA"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2.75</w:t>
            </w:r>
          </w:p>
        </w:tc>
        <w:tc>
          <w:tcPr>
            <w:tcW w:w="443" w:type="pct"/>
            <w:shd w:val="clear" w:color="auto" w:fill="auto"/>
            <w:noWrap/>
            <w:vAlign w:val="bottom"/>
            <w:hideMark/>
          </w:tcPr>
          <w:p w14:paraId="5D9CCBEC"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0.72</w:t>
            </w:r>
          </w:p>
        </w:tc>
        <w:tc>
          <w:tcPr>
            <w:tcW w:w="514" w:type="pct"/>
            <w:shd w:val="clear" w:color="auto" w:fill="auto"/>
            <w:noWrap/>
            <w:vAlign w:val="bottom"/>
            <w:hideMark/>
          </w:tcPr>
          <w:p w14:paraId="6347FC6A"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46.15</w:t>
            </w:r>
          </w:p>
        </w:tc>
        <w:tc>
          <w:tcPr>
            <w:tcW w:w="494" w:type="pct"/>
            <w:shd w:val="clear" w:color="auto" w:fill="auto"/>
            <w:noWrap/>
            <w:vAlign w:val="bottom"/>
            <w:hideMark/>
          </w:tcPr>
          <w:p w14:paraId="5BAB6CFC" w14:textId="77777777" w:rsidR="00D2365E" w:rsidRPr="006B28C1" w:rsidRDefault="00D2365E"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50.38</w:t>
            </w:r>
          </w:p>
        </w:tc>
      </w:tr>
      <w:tr w:rsidR="00DD7712" w:rsidRPr="006B28C1" w14:paraId="0B2B607F" w14:textId="77777777" w:rsidTr="00E818E7">
        <w:trPr>
          <w:trHeight w:val="297"/>
        </w:trPr>
        <w:tc>
          <w:tcPr>
            <w:tcW w:w="5000" w:type="pct"/>
            <w:gridSpan w:val="10"/>
            <w:shd w:val="clear" w:color="auto" w:fill="auto"/>
            <w:noWrap/>
            <w:vAlign w:val="bottom"/>
            <w:hideMark/>
          </w:tcPr>
          <w:p w14:paraId="1FA1544A" w14:textId="77777777" w:rsidR="00DD7712" w:rsidRPr="006B28C1" w:rsidRDefault="00DD7712" w:rsidP="009E6088">
            <w:pPr>
              <w:spacing w:after="0" w:line="240" w:lineRule="auto"/>
              <w:jc w:val="both"/>
              <w:rPr>
                <w:rFonts w:eastAsia="Times New Roman" w:cs="Times New Roman"/>
                <w:color w:val="000000"/>
                <w:sz w:val="18"/>
                <w:szCs w:val="18"/>
              </w:rPr>
            </w:pPr>
            <w:r w:rsidRPr="006B28C1">
              <w:rPr>
                <w:rFonts w:eastAsia="Times New Roman" w:cs="Times New Roman"/>
                <w:color w:val="000000"/>
                <w:sz w:val="18"/>
                <w:szCs w:val="18"/>
              </w:rPr>
              <w:t>Cholesky ordering: LUK, LPK, LIND, LCN.</w:t>
            </w:r>
          </w:p>
        </w:tc>
      </w:tr>
    </w:tbl>
    <w:p w14:paraId="1A2191CD" w14:textId="77777777" w:rsidR="00DD7712" w:rsidRPr="00104A43" w:rsidRDefault="00DD7712" w:rsidP="009E6088">
      <w:pPr>
        <w:spacing w:line="240" w:lineRule="auto"/>
        <w:jc w:val="both"/>
        <w:rPr>
          <w:rFonts w:cs="Times New Roman"/>
          <w:sz w:val="20"/>
          <w:szCs w:val="20"/>
        </w:rPr>
      </w:pPr>
      <w:r w:rsidRPr="00104A43">
        <w:rPr>
          <w:rFonts w:cs="Times New Roman"/>
          <w:i/>
          <w:iCs/>
          <w:sz w:val="20"/>
          <w:szCs w:val="20"/>
        </w:rPr>
        <w:t>Source:</w:t>
      </w:r>
      <w:r w:rsidRPr="00104A43">
        <w:rPr>
          <w:rFonts w:cs="Times New Roman"/>
          <w:sz w:val="20"/>
          <w:szCs w:val="20"/>
        </w:rPr>
        <w:t xml:space="preserve"> Authors' estimation</w:t>
      </w:r>
    </w:p>
    <w:p w14:paraId="14E318A7" w14:textId="73F01A19" w:rsidR="00DD7712" w:rsidRDefault="00DD7712" w:rsidP="009E6088">
      <w:pPr>
        <w:pStyle w:val="NormalWeb"/>
        <w:shd w:val="clear" w:color="auto" w:fill="FFFFFF"/>
        <w:spacing w:before="0" w:beforeAutospacing="0" w:after="0" w:afterAutospacing="0"/>
        <w:ind w:firstLine="720"/>
        <w:jc w:val="both"/>
        <w:rPr>
          <w:bCs/>
        </w:rPr>
      </w:pPr>
      <w:r w:rsidRPr="00046730">
        <w:rPr>
          <w:bCs/>
        </w:rPr>
        <w:t>The UK market is the exogenous market both in the short run and in the 52 weeks period. In the 52 weeks period 84% of its error variance is explained by its own innovations. The Indian market and the Chinese markets contribute in explaining the error variance of around 8% and 7% respectively. These results are in line with our previous findings. The Pakistani market continues be the exogenous market in the short run (4 weeks period) where in less than 2% of its variance is described by other markets. Even in the 52 weeks period only 20% of its value is explained by other markets.</w:t>
      </w:r>
    </w:p>
    <w:p w14:paraId="5D26279E" w14:textId="77777777" w:rsidR="0076280F" w:rsidRPr="00046730" w:rsidRDefault="0076280F" w:rsidP="009E6088">
      <w:pPr>
        <w:pStyle w:val="NormalWeb"/>
        <w:shd w:val="clear" w:color="auto" w:fill="FFFFFF"/>
        <w:spacing w:before="0" w:beforeAutospacing="0" w:after="0" w:afterAutospacing="0"/>
        <w:ind w:firstLine="720"/>
        <w:jc w:val="both"/>
        <w:rPr>
          <w:bCs/>
        </w:rPr>
      </w:pPr>
    </w:p>
    <w:p w14:paraId="67357477" w14:textId="1BCAC007" w:rsidR="00DD7712" w:rsidRDefault="00DD7712" w:rsidP="009E6088">
      <w:pPr>
        <w:pStyle w:val="NormalWeb"/>
        <w:shd w:val="clear" w:color="auto" w:fill="FFFFFF"/>
        <w:spacing w:before="0" w:beforeAutospacing="0" w:after="0" w:afterAutospacing="0"/>
        <w:ind w:firstLine="720"/>
        <w:jc w:val="both"/>
        <w:rPr>
          <w:bCs/>
        </w:rPr>
      </w:pPr>
      <w:r w:rsidRPr="00046730">
        <w:rPr>
          <w:bCs/>
        </w:rPr>
        <w:t>The Indian market is explained 16% by innovations in the UK market which is consistent with our VECM results and in the larger period it accounts for the explanation of 20% value. The Chinese market variance decomposition is somewhat different from the VECM analysis where around 8% of the variance is explained by the Indian market and the UK market does not explain the future course of the Chinese market possibly due to reasons outlined previously. (Brooks, 2014).</w:t>
      </w:r>
    </w:p>
    <w:p w14:paraId="4C358809" w14:textId="77777777" w:rsidR="0076280F" w:rsidRPr="00046730" w:rsidRDefault="0076280F" w:rsidP="009E6088">
      <w:pPr>
        <w:pStyle w:val="NormalWeb"/>
        <w:shd w:val="clear" w:color="auto" w:fill="FFFFFF"/>
        <w:spacing w:before="0" w:beforeAutospacing="0" w:after="0" w:afterAutospacing="0"/>
        <w:ind w:firstLine="720"/>
        <w:jc w:val="both"/>
        <w:rPr>
          <w:bCs/>
        </w:rPr>
      </w:pPr>
    </w:p>
    <w:p w14:paraId="08C1E31C" w14:textId="77777777" w:rsidR="00DD7712" w:rsidRPr="00046730" w:rsidRDefault="00DD7712" w:rsidP="009E6088">
      <w:pPr>
        <w:pStyle w:val="NormalWeb"/>
        <w:shd w:val="clear" w:color="auto" w:fill="FFFFFF"/>
        <w:spacing w:before="0" w:beforeAutospacing="0" w:after="0" w:afterAutospacing="0"/>
        <w:ind w:firstLine="720"/>
        <w:jc w:val="both"/>
        <w:rPr>
          <w:bCs/>
        </w:rPr>
      </w:pPr>
      <w:r w:rsidRPr="00046730">
        <w:rPr>
          <w:bCs/>
        </w:rPr>
        <w:t>The German market is the exogenous market in the 4 weeks period whereas in the 52 week period the Pakistani market explains 55% of forecast error variance of the German market. The results are consistent with our VECM results. The Pakistani market continues to be exogenous market in the short run (4 weeks period) with 95 percent of its variance explained by itself. The degree of exogeneity increases in the 52 week period where in 98 percent of its variance is explained by its own shocks.</w:t>
      </w:r>
    </w:p>
    <w:p w14:paraId="007D7659" w14:textId="77777777" w:rsidR="00DD7712" w:rsidRPr="000E24C2" w:rsidRDefault="00DD7712" w:rsidP="009E6088">
      <w:pPr>
        <w:spacing w:after="0" w:line="240" w:lineRule="auto"/>
        <w:ind w:left="720"/>
        <w:jc w:val="both"/>
        <w:rPr>
          <w:rFonts w:cs="Times New Roman"/>
          <w:szCs w:val="24"/>
        </w:rPr>
      </w:pPr>
    </w:p>
    <w:p w14:paraId="5EB45EBA" w14:textId="05CE4E15" w:rsidR="00053A10" w:rsidRDefault="00DD7712" w:rsidP="009E6088">
      <w:pPr>
        <w:pStyle w:val="NoSpacing"/>
        <w:rPr>
          <w:rFonts w:ascii="Times New Roman" w:eastAsia="Times New Roman" w:hAnsi="Times New Roman" w:cs="Times New Roman"/>
          <w:b/>
          <w:sz w:val="20"/>
          <w:szCs w:val="20"/>
        </w:rPr>
      </w:pPr>
      <w:r w:rsidRPr="00053A10">
        <w:rPr>
          <w:rFonts w:ascii="Times New Roman" w:eastAsia="Times New Roman" w:hAnsi="Times New Roman" w:cs="Times New Roman"/>
          <w:b/>
          <w:sz w:val="20"/>
          <w:szCs w:val="20"/>
        </w:rPr>
        <w:t xml:space="preserve">Table </w:t>
      </w:r>
      <w:r w:rsidR="00053A10">
        <w:rPr>
          <w:rFonts w:ascii="Times New Roman" w:eastAsia="Times New Roman" w:hAnsi="Times New Roman" w:cs="Times New Roman"/>
          <w:b/>
          <w:sz w:val="20"/>
          <w:szCs w:val="20"/>
        </w:rPr>
        <w:t>4</w:t>
      </w:r>
      <w:r w:rsidRPr="00053A10">
        <w:rPr>
          <w:rFonts w:ascii="Times New Roman" w:eastAsia="Times New Roman" w:hAnsi="Times New Roman" w:cs="Times New Roman"/>
          <w:b/>
          <w:sz w:val="20"/>
          <w:szCs w:val="20"/>
        </w:rPr>
        <w:t>.7</w:t>
      </w:r>
    </w:p>
    <w:p w14:paraId="6831E75B" w14:textId="7D6A02B3" w:rsidR="00DD7712" w:rsidRPr="00053A10" w:rsidRDefault="00DD7712" w:rsidP="009E6088">
      <w:pPr>
        <w:pStyle w:val="NoSpacing"/>
        <w:rPr>
          <w:rFonts w:ascii="Times New Roman" w:eastAsia="Times New Roman" w:hAnsi="Times New Roman" w:cs="Times New Roman"/>
          <w:b/>
          <w:i/>
          <w:iCs/>
          <w:sz w:val="20"/>
          <w:szCs w:val="20"/>
        </w:rPr>
      </w:pPr>
      <w:r w:rsidRPr="00053A10">
        <w:rPr>
          <w:rFonts w:ascii="Times New Roman" w:eastAsia="Times New Roman" w:hAnsi="Times New Roman" w:cs="Times New Roman"/>
          <w:b/>
          <w:i/>
          <w:iCs/>
          <w:sz w:val="20"/>
          <w:szCs w:val="20"/>
        </w:rPr>
        <w:t xml:space="preserve">Variance </w:t>
      </w:r>
      <w:r w:rsidR="00F12A63">
        <w:rPr>
          <w:rFonts w:ascii="Times New Roman" w:eastAsia="Times New Roman" w:hAnsi="Times New Roman" w:cs="Times New Roman"/>
          <w:b/>
          <w:i/>
          <w:iCs/>
          <w:sz w:val="20"/>
          <w:szCs w:val="20"/>
        </w:rPr>
        <w:t>D</w:t>
      </w:r>
      <w:r w:rsidRPr="00053A10">
        <w:rPr>
          <w:rFonts w:ascii="Times New Roman" w:eastAsia="Times New Roman" w:hAnsi="Times New Roman" w:cs="Times New Roman"/>
          <w:b/>
          <w:i/>
          <w:iCs/>
          <w:sz w:val="20"/>
          <w:szCs w:val="20"/>
        </w:rPr>
        <w:t xml:space="preserve">ecomposition for the </w:t>
      </w:r>
      <w:r w:rsidR="00F12A63">
        <w:rPr>
          <w:rFonts w:ascii="Times New Roman" w:eastAsia="Times New Roman" w:hAnsi="Times New Roman" w:cs="Times New Roman"/>
          <w:b/>
          <w:i/>
          <w:iCs/>
          <w:sz w:val="20"/>
          <w:szCs w:val="20"/>
        </w:rPr>
        <w:t>S</w:t>
      </w:r>
      <w:r w:rsidRPr="00053A10">
        <w:rPr>
          <w:rFonts w:ascii="Times New Roman" w:eastAsia="Times New Roman" w:hAnsi="Times New Roman" w:cs="Times New Roman"/>
          <w:b/>
          <w:i/>
          <w:iCs/>
          <w:sz w:val="20"/>
          <w:szCs w:val="20"/>
        </w:rPr>
        <w:t xml:space="preserve">ystem </w:t>
      </w:r>
      <w:r w:rsidR="00F12A63">
        <w:rPr>
          <w:rFonts w:ascii="Times New Roman" w:eastAsia="Times New Roman" w:hAnsi="Times New Roman" w:cs="Times New Roman"/>
          <w:b/>
          <w:i/>
          <w:iCs/>
          <w:sz w:val="20"/>
          <w:szCs w:val="20"/>
        </w:rPr>
        <w:t>I</w:t>
      </w:r>
      <w:r w:rsidRPr="00053A10">
        <w:rPr>
          <w:rFonts w:ascii="Times New Roman" w:eastAsia="Times New Roman" w:hAnsi="Times New Roman" w:cs="Times New Roman"/>
          <w:b/>
          <w:i/>
          <w:iCs/>
          <w:sz w:val="20"/>
          <w:szCs w:val="20"/>
        </w:rPr>
        <w:t xml:space="preserve">ncluding the Germany </w:t>
      </w:r>
      <w:r w:rsidR="00F12A63">
        <w:rPr>
          <w:rFonts w:ascii="Times New Roman" w:eastAsia="Times New Roman" w:hAnsi="Times New Roman" w:cs="Times New Roman"/>
          <w:b/>
          <w:i/>
          <w:iCs/>
          <w:sz w:val="20"/>
          <w:szCs w:val="20"/>
        </w:rPr>
        <w:t>M</w:t>
      </w:r>
      <w:r w:rsidRPr="00053A10">
        <w:rPr>
          <w:rFonts w:ascii="Times New Roman" w:eastAsia="Times New Roman" w:hAnsi="Times New Roman" w:cs="Times New Roman"/>
          <w:b/>
          <w:i/>
          <w:iCs/>
          <w:sz w:val="20"/>
          <w:szCs w:val="20"/>
        </w:rPr>
        <w:t>arket</w:t>
      </w:r>
    </w:p>
    <w:tbl>
      <w:tblPr>
        <w:tblW w:w="5000" w:type="pct"/>
        <w:tblBorders>
          <w:top w:val="single" w:sz="12" w:space="0" w:color="auto"/>
          <w:bottom w:val="single" w:sz="12" w:space="0" w:color="auto"/>
        </w:tblBorders>
        <w:tblLook w:val="04A0" w:firstRow="1" w:lastRow="0" w:firstColumn="1" w:lastColumn="0" w:noHBand="0" w:noVBand="1"/>
      </w:tblPr>
      <w:tblGrid>
        <w:gridCol w:w="677"/>
        <w:gridCol w:w="658"/>
        <w:gridCol w:w="597"/>
        <w:gridCol w:w="621"/>
        <w:gridCol w:w="555"/>
        <w:gridCol w:w="701"/>
        <w:gridCol w:w="658"/>
        <w:gridCol w:w="597"/>
        <w:gridCol w:w="621"/>
        <w:gridCol w:w="597"/>
      </w:tblGrid>
      <w:tr w:rsidR="00685CD0" w:rsidRPr="00C42E05" w14:paraId="4F0714C0" w14:textId="77777777" w:rsidTr="00685CD0">
        <w:trPr>
          <w:trHeight w:val="300"/>
        </w:trPr>
        <w:tc>
          <w:tcPr>
            <w:tcW w:w="2471" w:type="pct"/>
            <w:gridSpan w:val="5"/>
            <w:tcBorders>
              <w:top w:val="single" w:sz="12" w:space="0" w:color="auto"/>
              <w:bottom w:val="single" w:sz="4" w:space="0" w:color="auto"/>
            </w:tcBorders>
            <w:shd w:val="clear" w:color="auto" w:fill="auto"/>
            <w:noWrap/>
            <w:hideMark/>
          </w:tcPr>
          <w:p w14:paraId="5D8582A6" w14:textId="059AE987" w:rsidR="00685CD0" w:rsidRPr="00C42E05" w:rsidRDefault="00685CD0" w:rsidP="009E6088">
            <w:pPr>
              <w:spacing w:after="0" w:line="240" w:lineRule="auto"/>
              <w:rPr>
                <w:rFonts w:eastAsia="Times New Roman" w:cs="Times New Roman"/>
                <w:color w:val="000000"/>
                <w:sz w:val="18"/>
                <w:szCs w:val="18"/>
              </w:rPr>
            </w:pPr>
            <w:r w:rsidRPr="00C42E05">
              <w:rPr>
                <w:rFonts w:eastAsia="Times New Roman" w:cs="Times New Roman"/>
                <w:color w:val="000000"/>
                <w:sz w:val="18"/>
                <w:szCs w:val="18"/>
              </w:rPr>
              <w:t>Variance Decomposition of LGER:</w:t>
            </w:r>
          </w:p>
        </w:tc>
        <w:tc>
          <w:tcPr>
            <w:tcW w:w="2525" w:type="pct"/>
            <w:gridSpan w:val="5"/>
            <w:tcBorders>
              <w:top w:val="single" w:sz="12" w:space="0" w:color="auto"/>
              <w:bottom w:val="single" w:sz="4" w:space="0" w:color="auto"/>
            </w:tcBorders>
            <w:shd w:val="clear" w:color="auto" w:fill="auto"/>
            <w:noWrap/>
            <w:hideMark/>
          </w:tcPr>
          <w:p w14:paraId="0DCB65A5" w14:textId="22FD94B8" w:rsidR="00685CD0" w:rsidRPr="00C42E05" w:rsidRDefault="00685CD0" w:rsidP="009E6088">
            <w:pPr>
              <w:spacing w:after="0" w:line="240" w:lineRule="auto"/>
              <w:rPr>
                <w:rFonts w:eastAsia="Times New Roman" w:cs="Times New Roman"/>
                <w:color w:val="000000"/>
                <w:sz w:val="18"/>
                <w:szCs w:val="18"/>
              </w:rPr>
            </w:pPr>
            <w:r w:rsidRPr="00C42E05">
              <w:rPr>
                <w:rFonts w:eastAsia="Times New Roman" w:cs="Times New Roman"/>
                <w:color w:val="000000"/>
                <w:sz w:val="18"/>
                <w:szCs w:val="18"/>
              </w:rPr>
              <w:t>Variance Decomposition of LIND:</w:t>
            </w:r>
          </w:p>
        </w:tc>
      </w:tr>
      <w:tr w:rsidR="00685CD0" w:rsidRPr="00C42E05" w14:paraId="385E1CC5" w14:textId="77777777" w:rsidTr="00685CD0">
        <w:trPr>
          <w:trHeight w:val="458"/>
        </w:trPr>
        <w:tc>
          <w:tcPr>
            <w:tcW w:w="537" w:type="pct"/>
            <w:vMerge w:val="restart"/>
            <w:tcBorders>
              <w:top w:val="single" w:sz="4" w:space="0" w:color="auto"/>
              <w:bottom w:val="single" w:sz="4" w:space="0" w:color="auto"/>
            </w:tcBorders>
            <w:shd w:val="clear" w:color="auto" w:fill="auto"/>
            <w:noWrap/>
            <w:hideMark/>
          </w:tcPr>
          <w:p w14:paraId="5DB3F139" w14:textId="391CC941" w:rsidR="00685CD0" w:rsidRPr="00C42E05" w:rsidRDefault="00685CD0" w:rsidP="009E6088">
            <w:pPr>
              <w:spacing w:after="0" w:line="240" w:lineRule="auto"/>
              <w:rPr>
                <w:rFonts w:eastAsia="Times New Roman" w:cs="Times New Roman"/>
                <w:color w:val="000000"/>
                <w:sz w:val="18"/>
                <w:szCs w:val="18"/>
              </w:rPr>
            </w:pPr>
          </w:p>
        </w:tc>
        <w:tc>
          <w:tcPr>
            <w:tcW w:w="1934" w:type="pct"/>
            <w:gridSpan w:val="4"/>
            <w:vMerge w:val="restart"/>
            <w:tcBorders>
              <w:top w:val="single" w:sz="4" w:space="0" w:color="auto"/>
              <w:bottom w:val="single" w:sz="4" w:space="0" w:color="auto"/>
            </w:tcBorders>
            <w:shd w:val="clear" w:color="auto" w:fill="auto"/>
            <w:hideMark/>
          </w:tcPr>
          <w:p w14:paraId="5B3A11FD" w14:textId="77777777" w:rsidR="00685CD0" w:rsidRPr="00C42E05" w:rsidRDefault="00685CD0" w:rsidP="009E6088">
            <w:pPr>
              <w:spacing w:after="0" w:line="240" w:lineRule="auto"/>
              <w:rPr>
                <w:rFonts w:eastAsia="Times New Roman" w:cs="Times New Roman"/>
                <w:color w:val="000000"/>
                <w:sz w:val="18"/>
                <w:szCs w:val="18"/>
              </w:rPr>
            </w:pPr>
            <w:r w:rsidRPr="00C42E05">
              <w:rPr>
                <w:rFonts w:eastAsia="Times New Roman" w:cs="Times New Roman"/>
                <w:color w:val="000000"/>
                <w:sz w:val="18"/>
                <w:szCs w:val="18"/>
              </w:rPr>
              <w:t>% of forecasted variance which is described by changes in</w:t>
            </w:r>
          </w:p>
        </w:tc>
        <w:tc>
          <w:tcPr>
            <w:tcW w:w="557" w:type="pct"/>
            <w:vMerge w:val="restart"/>
            <w:tcBorders>
              <w:top w:val="single" w:sz="4" w:space="0" w:color="auto"/>
              <w:bottom w:val="single" w:sz="4" w:space="0" w:color="auto"/>
            </w:tcBorders>
            <w:shd w:val="clear" w:color="auto" w:fill="auto"/>
            <w:noWrap/>
            <w:hideMark/>
          </w:tcPr>
          <w:p w14:paraId="3634AA74" w14:textId="20618D65" w:rsidR="00685CD0" w:rsidRPr="00C42E05" w:rsidRDefault="00685CD0" w:rsidP="009E6088">
            <w:pPr>
              <w:spacing w:after="0" w:line="240" w:lineRule="auto"/>
              <w:rPr>
                <w:rFonts w:eastAsia="Times New Roman" w:cs="Times New Roman"/>
                <w:color w:val="000000"/>
                <w:sz w:val="18"/>
                <w:szCs w:val="18"/>
              </w:rPr>
            </w:pPr>
          </w:p>
        </w:tc>
        <w:tc>
          <w:tcPr>
            <w:tcW w:w="1967" w:type="pct"/>
            <w:gridSpan w:val="4"/>
            <w:vMerge w:val="restart"/>
            <w:tcBorders>
              <w:top w:val="single" w:sz="4" w:space="0" w:color="auto"/>
              <w:bottom w:val="single" w:sz="4" w:space="0" w:color="auto"/>
            </w:tcBorders>
            <w:shd w:val="clear" w:color="auto" w:fill="auto"/>
            <w:hideMark/>
          </w:tcPr>
          <w:p w14:paraId="1D7BFB23" w14:textId="77777777" w:rsidR="00685CD0" w:rsidRPr="00C42E05" w:rsidRDefault="00685CD0" w:rsidP="009E6088">
            <w:pPr>
              <w:spacing w:after="0" w:line="240" w:lineRule="auto"/>
              <w:rPr>
                <w:rFonts w:eastAsia="Times New Roman" w:cs="Times New Roman"/>
                <w:color w:val="000000"/>
                <w:sz w:val="18"/>
                <w:szCs w:val="18"/>
              </w:rPr>
            </w:pPr>
            <w:r w:rsidRPr="00C42E05">
              <w:rPr>
                <w:rFonts w:eastAsia="Times New Roman" w:cs="Times New Roman"/>
                <w:color w:val="000000"/>
                <w:sz w:val="18"/>
                <w:szCs w:val="18"/>
              </w:rPr>
              <w:t>% of forecasted variance which is described by changes in</w:t>
            </w:r>
          </w:p>
        </w:tc>
      </w:tr>
      <w:tr w:rsidR="00685CD0" w:rsidRPr="00C42E05" w14:paraId="14A8CCEC" w14:textId="77777777" w:rsidTr="00685CD0">
        <w:trPr>
          <w:trHeight w:val="458"/>
        </w:trPr>
        <w:tc>
          <w:tcPr>
            <w:tcW w:w="537" w:type="pct"/>
            <w:vMerge/>
            <w:tcBorders>
              <w:top w:val="nil"/>
              <w:bottom w:val="single" w:sz="4" w:space="0" w:color="auto"/>
            </w:tcBorders>
            <w:vAlign w:val="center"/>
            <w:hideMark/>
          </w:tcPr>
          <w:p w14:paraId="0D828E1B" w14:textId="77777777" w:rsidR="00685CD0" w:rsidRPr="00C42E05" w:rsidRDefault="00685CD0" w:rsidP="009E6088">
            <w:pPr>
              <w:spacing w:after="0" w:line="240" w:lineRule="auto"/>
              <w:jc w:val="both"/>
              <w:rPr>
                <w:rFonts w:eastAsia="Times New Roman" w:cs="Times New Roman"/>
                <w:color w:val="000000"/>
                <w:sz w:val="18"/>
                <w:szCs w:val="18"/>
              </w:rPr>
            </w:pPr>
          </w:p>
        </w:tc>
        <w:tc>
          <w:tcPr>
            <w:tcW w:w="1934" w:type="pct"/>
            <w:gridSpan w:val="4"/>
            <w:vMerge/>
            <w:tcBorders>
              <w:top w:val="nil"/>
              <w:bottom w:val="single" w:sz="4" w:space="0" w:color="auto"/>
            </w:tcBorders>
            <w:vAlign w:val="center"/>
            <w:hideMark/>
          </w:tcPr>
          <w:p w14:paraId="649261CC" w14:textId="77777777" w:rsidR="00685CD0" w:rsidRPr="00C42E05" w:rsidRDefault="00685CD0" w:rsidP="009E6088">
            <w:pPr>
              <w:spacing w:after="0" w:line="240" w:lineRule="auto"/>
              <w:jc w:val="both"/>
              <w:rPr>
                <w:rFonts w:eastAsia="Times New Roman" w:cs="Times New Roman"/>
                <w:color w:val="000000"/>
                <w:sz w:val="18"/>
                <w:szCs w:val="18"/>
              </w:rPr>
            </w:pPr>
          </w:p>
        </w:tc>
        <w:tc>
          <w:tcPr>
            <w:tcW w:w="557" w:type="pct"/>
            <w:vMerge/>
            <w:tcBorders>
              <w:top w:val="nil"/>
              <w:bottom w:val="single" w:sz="4" w:space="0" w:color="auto"/>
            </w:tcBorders>
            <w:vAlign w:val="center"/>
            <w:hideMark/>
          </w:tcPr>
          <w:p w14:paraId="54167BEE" w14:textId="77777777" w:rsidR="00685CD0" w:rsidRPr="00C42E05" w:rsidRDefault="00685CD0" w:rsidP="009E6088">
            <w:pPr>
              <w:spacing w:after="0" w:line="240" w:lineRule="auto"/>
              <w:jc w:val="both"/>
              <w:rPr>
                <w:rFonts w:eastAsia="Times New Roman" w:cs="Times New Roman"/>
                <w:color w:val="000000"/>
                <w:sz w:val="18"/>
                <w:szCs w:val="18"/>
              </w:rPr>
            </w:pPr>
          </w:p>
        </w:tc>
        <w:tc>
          <w:tcPr>
            <w:tcW w:w="1967" w:type="pct"/>
            <w:gridSpan w:val="4"/>
            <w:vMerge/>
            <w:tcBorders>
              <w:top w:val="nil"/>
              <w:bottom w:val="single" w:sz="4" w:space="0" w:color="auto"/>
            </w:tcBorders>
            <w:vAlign w:val="center"/>
            <w:hideMark/>
          </w:tcPr>
          <w:p w14:paraId="7D9D3FE2" w14:textId="77777777" w:rsidR="00685CD0" w:rsidRPr="00C42E05" w:rsidRDefault="00685CD0" w:rsidP="009E6088">
            <w:pPr>
              <w:spacing w:after="0" w:line="240" w:lineRule="auto"/>
              <w:jc w:val="both"/>
              <w:rPr>
                <w:rFonts w:eastAsia="Times New Roman" w:cs="Times New Roman"/>
                <w:color w:val="000000"/>
                <w:sz w:val="18"/>
                <w:szCs w:val="18"/>
              </w:rPr>
            </w:pPr>
          </w:p>
        </w:tc>
      </w:tr>
      <w:tr w:rsidR="00685CD0" w:rsidRPr="00685CD0" w14:paraId="560599CA" w14:textId="77777777" w:rsidTr="00685CD0">
        <w:trPr>
          <w:trHeight w:val="300"/>
        </w:trPr>
        <w:tc>
          <w:tcPr>
            <w:tcW w:w="537" w:type="pct"/>
            <w:tcBorders>
              <w:top w:val="single" w:sz="4" w:space="0" w:color="auto"/>
              <w:bottom w:val="single" w:sz="4" w:space="0" w:color="auto"/>
            </w:tcBorders>
            <w:shd w:val="clear" w:color="auto" w:fill="auto"/>
            <w:noWrap/>
            <w:hideMark/>
          </w:tcPr>
          <w:p w14:paraId="28E4C5E9" w14:textId="55C36FFF" w:rsidR="00685CD0" w:rsidRPr="00685CD0" w:rsidRDefault="00685CD0" w:rsidP="009E6088">
            <w:pPr>
              <w:spacing w:after="0" w:line="240" w:lineRule="auto"/>
              <w:rPr>
                <w:rFonts w:eastAsia="Times New Roman" w:cs="Times New Roman"/>
                <w:color w:val="000000"/>
                <w:sz w:val="17"/>
                <w:szCs w:val="17"/>
              </w:rPr>
            </w:pPr>
            <w:r w:rsidRPr="00685CD0">
              <w:rPr>
                <w:rFonts w:eastAsia="Times New Roman" w:cs="Times New Roman"/>
                <w:color w:val="000000"/>
                <w:sz w:val="17"/>
                <w:szCs w:val="17"/>
              </w:rPr>
              <w:t>Period</w:t>
            </w:r>
          </w:p>
        </w:tc>
        <w:tc>
          <w:tcPr>
            <w:tcW w:w="524" w:type="pct"/>
            <w:tcBorders>
              <w:top w:val="single" w:sz="4" w:space="0" w:color="auto"/>
              <w:bottom w:val="single" w:sz="4" w:space="0" w:color="auto"/>
            </w:tcBorders>
            <w:shd w:val="clear" w:color="auto" w:fill="auto"/>
            <w:noWrap/>
            <w:hideMark/>
          </w:tcPr>
          <w:p w14:paraId="6B895555" w14:textId="77777777" w:rsidR="00685CD0" w:rsidRPr="00685CD0" w:rsidRDefault="00685CD0" w:rsidP="009E6088">
            <w:pPr>
              <w:spacing w:after="0" w:line="240" w:lineRule="auto"/>
              <w:rPr>
                <w:rFonts w:eastAsia="Times New Roman" w:cs="Times New Roman"/>
                <w:color w:val="000000"/>
                <w:sz w:val="17"/>
                <w:szCs w:val="17"/>
              </w:rPr>
            </w:pPr>
            <w:r w:rsidRPr="00685CD0">
              <w:rPr>
                <w:rFonts w:eastAsia="Times New Roman" w:cs="Times New Roman"/>
                <w:color w:val="000000"/>
                <w:sz w:val="17"/>
                <w:szCs w:val="17"/>
              </w:rPr>
              <w:t>LGER</w:t>
            </w:r>
          </w:p>
        </w:tc>
        <w:tc>
          <w:tcPr>
            <w:tcW w:w="475" w:type="pct"/>
            <w:tcBorders>
              <w:top w:val="single" w:sz="4" w:space="0" w:color="auto"/>
              <w:bottom w:val="single" w:sz="4" w:space="0" w:color="auto"/>
            </w:tcBorders>
            <w:shd w:val="clear" w:color="auto" w:fill="auto"/>
            <w:noWrap/>
            <w:hideMark/>
          </w:tcPr>
          <w:p w14:paraId="0E9B87FB" w14:textId="77777777" w:rsidR="00685CD0" w:rsidRPr="00685CD0" w:rsidRDefault="00685CD0" w:rsidP="009E6088">
            <w:pPr>
              <w:spacing w:after="0" w:line="240" w:lineRule="auto"/>
              <w:rPr>
                <w:rFonts w:eastAsia="Times New Roman" w:cs="Times New Roman"/>
                <w:color w:val="000000"/>
                <w:sz w:val="17"/>
                <w:szCs w:val="17"/>
              </w:rPr>
            </w:pPr>
            <w:r w:rsidRPr="00685CD0">
              <w:rPr>
                <w:rFonts w:eastAsia="Times New Roman" w:cs="Times New Roman"/>
                <w:color w:val="000000"/>
                <w:sz w:val="17"/>
                <w:szCs w:val="17"/>
              </w:rPr>
              <w:t>LPK</w:t>
            </w:r>
          </w:p>
        </w:tc>
        <w:tc>
          <w:tcPr>
            <w:tcW w:w="493" w:type="pct"/>
            <w:tcBorders>
              <w:top w:val="single" w:sz="4" w:space="0" w:color="auto"/>
              <w:bottom w:val="single" w:sz="4" w:space="0" w:color="auto"/>
            </w:tcBorders>
            <w:shd w:val="clear" w:color="auto" w:fill="auto"/>
            <w:noWrap/>
            <w:hideMark/>
          </w:tcPr>
          <w:p w14:paraId="7FBC6373" w14:textId="77777777" w:rsidR="00685CD0" w:rsidRPr="00685CD0" w:rsidRDefault="00685CD0" w:rsidP="009E6088">
            <w:pPr>
              <w:spacing w:after="0" w:line="240" w:lineRule="auto"/>
              <w:rPr>
                <w:rFonts w:eastAsia="Times New Roman" w:cs="Times New Roman"/>
                <w:color w:val="000000"/>
                <w:sz w:val="17"/>
                <w:szCs w:val="17"/>
              </w:rPr>
            </w:pPr>
            <w:r w:rsidRPr="00685CD0">
              <w:rPr>
                <w:rFonts w:eastAsia="Times New Roman" w:cs="Times New Roman"/>
                <w:color w:val="000000"/>
                <w:sz w:val="17"/>
                <w:szCs w:val="17"/>
              </w:rPr>
              <w:t>LIND</w:t>
            </w:r>
          </w:p>
        </w:tc>
        <w:tc>
          <w:tcPr>
            <w:tcW w:w="442" w:type="pct"/>
            <w:tcBorders>
              <w:top w:val="single" w:sz="4" w:space="0" w:color="auto"/>
              <w:bottom w:val="single" w:sz="4" w:space="0" w:color="auto"/>
            </w:tcBorders>
            <w:shd w:val="clear" w:color="auto" w:fill="auto"/>
            <w:noWrap/>
            <w:hideMark/>
          </w:tcPr>
          <w:p w14:paraId="7940269D" w14:textId="77777777" w:rsidR="00685CD0" w:rsidRPr="00685CD0" w:rsidRDefault="00685CD0" w:rsidP="009E6088">
            <w:pPr>
              <w:spacing w:after="0" w:line="240" w:lineRule="auto"/>
              <w:rPr>
                <w:rFonts w:eastAsia="Times New Roman" w:cs="Times New Roman"/>
                <w:color w:val="000000"/>
                <w:sz w:val="17"/>
                <w:szCs w:val="17"/>
              </w:rPr>
            </w:pPr>
            <w:r w:rsidRPr="00685CD0">
              <w:rPr>
                <w:rFonts w:eastAsia="Times New Roman" w:cs="Times New Roman"/>
                <w:color w:val="000000"/>
                <w:sz w:val="17"/>
                <w:szCs w:val="17"/>
              </w:rPr>
              <w:t>LCN</w:t>
            </w:r>
          </w:p>
        </w:tc>
        <w:tc>
          <w:tcPr>
            <w:tcW w:w="557" w:type="pct"/>
            <w:tcBorders>
              <w:top w:val="single" w:sz="4" w:space="0" w:color="auto"/>
              <w:bottom w:val="single" w:sz="4" w:space="0" w:color="auto"/>
            </w:tcBorders>
            <w:shd w:val="clear" w:color="auto" w:fill="auto"/>
            <w:noWrap/>
            <w:hideMark/>
          </w:tcPr>
          <w:p w14:paraId="618354B2" w14:textId="472BEA0C" w:rsidR="00685CD0" w:rsidRPr="00685CD0" w:rsidRDefault="00685CD0" w:rsidP="009E6088">
            <w:pPr>
              <w:spacing w:after="0" w:line="240" w:lineRule="auto"/>
              <w:rPr>
                <w:rFonts w:eastAsia="Times New Roman" w:cs="Times New Roman"/>
                <w:color w:val="000000"/>
                <w:sz w:val="17"/>
                <w:szCs w:val="17"/>
              </w:rPr>
            </w:pPr>
            <w:r w:rsidRPr="00685CD0">
              <w:rPr>
                <w:rFonts w:eastAsia="Times New Roman" w:cs="Times New Roman"/>
                <w:color w:val="000000"/>
                <w:sz w:val="17"/>
                <w:szCs w:val="17"/>
              </w:rPr>
              <w:t>Period</w:t>
            </w:r>
          </w:p>
        </w:tc>
        <w:tc>
          <w:tcPr>
            <w:tcW w:w="524" w:type="pct"/>
            <w:tcBorders>
              <w:top w:val="single" w:sz="4" w:space="0" w:color="auto"/>
              <w:bottom w:val="single" w:sz="4" w:space="0" w:color="auto"/>
            </w:tcBorders>
            <w:shd w:val="clear" w:color="auto" w:fill="auto"/>
            <w:noWrap/>
            <w:hideMark/>
          </w:tcPr>
          <w:p w14:paraId="06552508" w14:textId="77777777" w:rsidR="00685CD0" w:rsidRPr="00685CD0" w:rsidRDefault="00685CD0" w:rsidP="009E6088">
            <w:pPr>
              <w:spacing w:after="0" w:line="240" w:lineRule="auto"/>
              <w:rPr>
                <w:rFonts w:eastAsia="Times New Roman" w:cs="Times New Roman"/>
                <w:color w:val="000000"/>
                <w:sz w:val="17"/>
                <w:szCs w:val="17"/>
              </w:rPr>
            </w:pPr>
            <w:r w:rsidRPr="00685CD0">
              <w:rPr>
                <w:rFonts w:eastAsia="Times New Roman" w:cs="Times New Roman"/>
                <w:color w:val="000000"/>
                <w:sz w:val="17"/>
                <w:szCs w:val="17"/>
              </w:rPr>
              <w:t>LGER</w:t>
            </w:r>
          </w:p>
        </w:tc>
        <w:tc>
          <w:tcPr>
            <w:tcW w:w="475" w:type="pct"/>
            <w:tcBorders>
              <w:top w:val="single" w:sz="4" w:space="0" w:color="auto"/>
              <w:bottom w:val="single" w:sz="4" w:space="0" w:color="auto"/>
            </w:tcBorders>
            <w:shd w:val="clear" w:color="auto" w:fill="auto"/>
            <w:noWrap/>
            <w:hideMark/>
          </w:tcPr>
          <w:p w14:paraId="0B7A5AC2" w14:textId="77777777" w:rsidR="00685CD0" w:rsidRPr="00685CD0" w:rsidRDefault="00685CD0" w:rsidP="009E6088">
            <w:pPr>
              <w:spacing w:after="0" w:line="240" w:lineRule="auto"/>
              <w:rPr>
                <w:rFonts w:eastAsia="Times New Roman" w:cs="Times New Roman"/>
                <w:color w:val="000000"/>
                <w:sz w:val="17"/>
                <w:szCs w:val="17"/>
              </w:rPr>
            </w:pPr>
            <w:r w:rsidRPr="00685CD0">
              <w:rPr>
                <w:rFonts w:eastAsia="Times New Roman" w:cs="Times New Roman"/>
                <w:color w:val="000000"/>
                <w:sz w:val="17"/>
                <w:szCs w:val="17"/>
              </w:rPr>
              <w:t>LPK</w:t>
            </w:r>
          </w:p>
        </w:tc>
        <w:tc>
          <w:tcPr>
            <w:tcW w:w="493" w:type="pct"/>
            <w:tcBorders>
              <w:top w:val="single" w:sz="4" w:space="0" w:color="auto"/>
              <w:bottom w:val="single" w:sz="4" w:space="0" w:color="auto"/>
            </w:tcBorders>
            <w:shd w:val="clear" w:color="auto" w:fill="auto"/>
            <w:noWrap/>
            <w:hideMark/>
          </w:tcPr>
          <w:p w14:paraId="6FF87673" w14:textId="77777777" w:rsidR="00685CD0" w:rsidRPr="00685CD0" w:rsidRDefault="00685CD0" w:rsidP="009E6088">
            <w:pPr>
              <w:spacing w:after="0" w:line="240" w:lineRule="auto"/>
              <w:rPr>
                <w:rFonts w:eastAsia="Times New Roman" w:cs="Times New Roman"/>
                <w:color w:val="000000"/>
                <w:sz w:val="17"/>
                <w:szCs w:val="17"/>
              </w:rPr>
            </w:pPr>
            <w:r w:rsidRPr="00685CD0">
              <w:rPr>
                <w:rFonts w:eastAsia="Times New Roman" w:cs="Times New Roman"/>
                <w:color w:val="000000"/>
                <w:sz w:val="17"/>
                <w:szCs w:val="17"/>
              </w:rPr>
              <w:t>LIND</w:t>
            </w:r>
          </w:p>
        </w:tc>
        <w:tc>
          <w:tcPr>
            <w:tcW w:w="475" w:type="pct"/>
            <w:tcBorders>
              <w:top w:val="single" w:sz="4" w:space="0" w:color="auto"/>
              <w:bottom w:val="single" w:sz="4" w:space="0" w:color="auto"/>
            </w:tcBorders>
            <w:shd w:val="clear" w:color="auto" w:fill="auto"/>
            <w:noWrap/>
            <w:hideMark/>
          </w:tcPr>
          <w:p w14:paraId="29E51FE7" w14:textId="77777777" w:rsidR="00685CD0" w:rsidRPr="00685CD0" w:rsidRDefault="00685CD0" w:rsidP="009E6088">
            <w:pPr>
              <w:spacing w:after="0" w:line="240" w:lineRule="auto"/>
              <w:rPr>
                <w:rFonts w:eastAsia="Times New Roman" w:cs="Times New Roman"/>
                <w:color w:val="000000"/>
                <w:sz w:val="17"/>
                <w:szCs w:val="17"/>
              </w:rPr>
            </w:pPr>
            <w:r w:rsidRPr="00685CD0">
              <w:rPr>
                <w:rFonts w:eastAsia="Times New Roman" w:cs="Times New Roman"/>
                <w:color w:val="000000"/>
                <w:sz w:val="17"/>
                <w:szCs w:val="17"/>
              </w:rPr>
              <w:t>LCN</w:t>
            </w:r>
          </w:p>
        </w:tc>
      </w:tr>
      <w:tr w:rsidR="00685CD0" w:rsidRPr="00C42E05" w14:paraId="4B871473" w14:textId="77777777" w:rsidTr="00685CD0">
        <w:trPr>
          <w:trHeight w:val="300"/>
        </w:trPr>
        <w:tc>
          <w:tcPr>
            <w:tcW w:w="537" w:type="pct"/>
            <w:tcBorders>
              <w:top w:val="single" w:sz="4" w:space="0" w:color="auto"/>
            </w:tcBorders>
            <w:shd w:val="clear" w:color="auto" w:fill="auto"/>
            <w:noWrap/>
            <w:vAlign w:val="bottom"/>
            <w:hideMark/>
          </w:tcPr>
          <w:p w14:paraId="32ED694E" w14:textId="54CF86D6"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Week</w:t>
            </w:r>
          </w:p>
        </w:tc>
        <w:tc>
          <w:tcPr>
            <w:tcW w:w="524" w:type="pct"/>
            <w:tcBorders>
              <w:top w:val="single" w:sz="4" w:space="0" w:color="auto"/>
            </w:tcBorders>
            <w:shd w:val="clear" w:color="auto" w:fill="auto"/>
            <w:noWrap/>
            <w:vAlign w:val="bottom"/>
            <w:hideMark/>
          </w:tcPr>
          <w:p w14:paraId="58ED982C"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75" w:type="pct"/>
            <w:tcBorders>
              <w:top w:val="single" w:sz="4" w:space="0" w:color="auto"/>
            </w:tcBorders>
            <w:shd w:val="clear" w:color="auto" w:fill="auto"/>
            <w:noWrap/>
            <w:vAlign w:val="bottom"/>
            <w:hideMark/>
          </w:tcPr>
          <w:p w14:paraId="2DF3AAB9"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93" w:type="pct"/>
            <w:tcBorders>
              <w:top w:val="single" w:sz="4" w:space="0" w:color="auto"/>
            </w:tcBorders>
            <w:shd w:val="clear" w:color="auto" w:fill="auto"/>
            <w:noWrap/>
            <w:vAlign w:val="bottom"/>
            <w:hideMark/>
          </w:tcPr>
          <w:p w14:paraId="77E953C5"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42" w:type="pct"/>
            <w:tcBorders>
              <w:top w:val="single" w:sz="4" w:space="0" w:color="auto"/>
            </w:tcBorders>
            <w:shd w:val="clear" w:color="auto" w:fill="auto"/>
            <w:noWrap/>
            <w:vAlign w:val="bottom"/>
            <w:hideMark/>
          </w:tcPr>
          <w:p w14:paraId="4D3FA13B"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557" w:type="pct"/>
            <w:tcBorders>
              <w:top w:val="single" w:sz="4" w:space="0" w:color="auto"/>
            </w:tcBorders>
            <w:shd w:val="clear" w:color="auto" w:fill="auto"/>
            <w:noWrap/>
            <w:vAlign w:val="bottom"/>
            <w:hideMark/>
          </w:tcPr>
          <w:p w14:paraId="2C22AE1D" w14:textId="3874A785"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Week</w:t>
            </w:r>
          </w:p>
        </w:tc>
        <w:tc>
          <w:tcPr>
            <w:tcW w:w="524" w:type="pct"/>
            <w:tcBorders>
              <w:top w:val="single" w:sz="4" w:space="0" w:color="auto"/>
            </w:tcBorders>
            <w:shd w:val="clear" w:color="auto" w:fill="auto"/>
            <w:noWrap/>
            <w:vAlign w:val="bottom"/>
            <w:hideMark/>
          </w:tcPr>
          <w:p w14:paraId="497E5FE8"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75" w:type="pct"/>
            <w:tcBorders>
              <w:top w:val="single" w:sz="4" w:space="0" w:color="auto"/>
            </w:tcBorders>
            <w:shd w:val="clear" w:color="auto" w:fill="auto"/>
            <w:noWrap/>
            <w:vAlign w:val="bottom"/>
            <w:hideMark/>
          </w:tcPr>
          <w:p w14:paraId="10322B2A"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93" w:type="pct"/>
            <w:tcBorders>
              <w:top w:val="single" w:sz="4" w:space="0" w:color="auto"/>
            </w:tcBorders>
            <w:shd w:val="clear" w:color="auto" w:fill="auto"/>
            <w:noWrap/>
            <w:vAlign w:val="bottom"/>
            <w:hideMark/>
          </w:tcPr>
          <w:p w14:paraId="6FAEA29A"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75" w:type="pct"/>
            <w:tcBorders>
              <w:top w:val="single" w:sz="4" w:space="0" w:color="auto"/>
            </w:tcBorders>
            <w:shd w:val="clear" w:color="auto" w:fill="auto"/>
            <w:noWrap/>
            <w:vAlign w:val="bottom"/>
            <w:hideMark/>
          </w:tcPr>
          <w:p w14:paraId="19A0DE91"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r>
      <w:tr w:rsidR="00685CD0" w:rsidRPr="00C42E05" w14:paraId="7093313E" w14:textId="77777777" w:rsidTr="00685CD0">
        <w:trPr>
          <w:trHeight w:val="300"/>
        </w:trPr>
        <w:tc>
          <w:tcPr>
            <w:tcW w:w="537" w:type="pct"/>
            <w:shd w:val="clear" w:color="auto" w:fill="auto"/>
            <w:noWrap/>
            <w:vAlign w:val="bottom"/>
            <w:hideMark/>
          </w:tcPr>
          <w:p w14:paraId="61F6D20E" w14:textId="3E1B22E0"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w:t>
            </w:r>
          </w:p>
        </w:tc>
        <w:tc>
          <w:tcPr>
            <w:tcW w:w="524" w:type="pct"/>
            <w:shd w:val="clear" w:color="auto" w:fill="auto"/>
            <w:noWrap/>
            <w:vAlign w:val="bottom"/>
            <w:hideMark/>
          </w:tcPr>
          <w:p w14:paraId="54E5592C"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100</w:t>
            </w:r>
          </w:p>
        </w:tc>
        <w:tc>
          <w:tcPr>
            <w:tcW w:w="475" w:type="pct"/>
            <w:shd w:val="clear" w:color="auto" w:fill="auto"/>
            <w:noWrap/>
            <w:vAlign w:val="bottom"/>
            <w:hideMark/>
          </w:tcPr>
          <w:p w14:paraId="7D9AD103"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w:t>
            </w:r>
          </w:p>
        </w:tc>
        <w:tc>
          <w:tcPr>
            <w:tcW w:w="493" w:type="pct"/>
            <w:shd w:val="clear" w:color="auto" w:fill="auto"/>
            <w:noWrap/>
            <w:vAlign w:val="bottom"/>
            <w:hideMark/>
          </w:tcPr>
          <w:p w14:paraId="37514CBD"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w:t>
            </w:r>
          </w:p>
        </w:tc>
        <w:tc>
          <w:tcPr>
            <w:tcW w:w="442" w:type="pct"/>
            <w:shd w:val="clear" w:color="auto" w:fill="auto"/>
            <w:noWrap/>
            <w:vAlign w:val="bottom"/>
            <w:hideMark/>
          </w:tcPr>
          <w:p w14:paraId="44F9B0D2"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w:t>
            </w:r>
          </w:p>
        </w:tc>
        <w:tc>
          <w:tcPr>
            <w:tcW w:w="557" w:type="pct"/>
            <w:shd w:val="clear" w:color="auto" w:fill="auto"/>
            <w:noWrap/>
            <w:vAlign w:val="bottom"/>
            <w:hideMark/>
          </w:tcPr>
          <w:p w14:paraId="02FF2608" w14:textId="4E5860FC"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w:t>
            </w:r>
          </w:p>
        </w:tc>
        <w:tc>
          <w:tcPr>
            <w:tcW w:w="524" w:type="pct"/>
            <w:shd w:val="clear" w:color="auto" w:fill="auto"/>
            <w:noWrap/>
            <w:vAlign w:val="bottom"/>
            <w:hideMark/>
          </w:tcPr>
          <w:p w14:paraId="1162A699"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36.23</w:t>
            </w:r>
          </w:p>
        </w:tc>
        <w:tc>
          <w:tcPr>
            <w:tcW w:w="475" w:type="pct"/>
            <w:shd w:val="clear" w:color="auto" w:fill="auto"/>
            <w:noWrap/>
            <w:vAlign w:val="bottom"/>
            <w:hideMark/>
          </w:tcPr>
          <w:p w14:paraId="109DFD13"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0.37</w:t>
            </w:r>
          </w:p>
        </w:tc>
        <w:tc>
          <w:tcPr>
            <w:tcW w:w="493" w:type="pct"/>
            <w:shd w:val="clear" w:color="auto" w:fill="auto"/>
            <w:noWrap/>
            <w:vAlign w:val="bottom"/>
            <w:hideMark/>
          </w:tcPr>
          <w:p w14:paraId="180282F1"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63.40</w:t>
            </w:r>
          </w:p>
        </w:tc>
        <w:tc>
          <w:tcPr>
            <w:tcW w:w="475" w:type="pct"/>
            <w:shd w:val="clear" w:color="auto" w:fill="auto"/>
            <w:noWrap/>
            <w:vAlign w:val="bottom"/>
            <w:hideMark/>
          </w:tcPr>
          <w:p w14:paraId="33662481"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0.00</w:t>
            </w:r>
          </w:p>
        </w:tc>
      </w:tr>
      <w:tr w:rsidR="00685CD0" w:rsidRPr="00C42E05" w14:paraId="2B7EDBB0" w14:textId="77777777" w:rsidTr="00685CD0">
        <w:trPr>
          <w:trHeight w:val="300"/>
        </w:trPr>
        <w:tc>
          <w:tcPr>
            <w:tcW w:w="537" w:type="pct"/>
            <w:shd w:val="clear" w:color="auto" w:fill="auto"/>
            <w:noWrap/>
            <w:vAlign w:val="bottom"/>
            <w:hideMark/>
          </w:tcPr>
          <w:p w14:paraId="5BE86FC0" w14:textId="061C6490"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4</w:t>
            </w:r>
          </w:p>
        </w:tc>
        <w:tc>
          <w:tcPr>
            <w:tcW w:w="524" w:type="pct"/>
            <w:shd w:val="clear" w:color="auto" w:fill="auto"/>
            <w:noWrap/>
            <w:vAlign w:val="bottom"/>
            <w:hideMark/>
          </w:tcPr>
          <w:p w14:paraId="7F1409BD"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98.53</w:t>
            </w:r>
          </w:p>
        </w:tc>
        <w:tc>
          <w:tcPr>
            <w:tcW w:w="475" w:type="pct"/>
            <w:shd w:val="clear" w:color="auto" w:fill="auto"/>
            <w:noWrap/>
            <w:vAlign w:val="bottom"/>
            <w:hideMark/>
          </w:tcPr>
          <w:p w14:paraId="3EC69491"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0.88</w:t>
            </w:r>
          </w:p>
        </w:tc>
        <w:tc>
          <w:tcPr>
            <w:tcW w:w="493" w:type="pct"/>
            <w:shd w:val="clear" w:color="auto" w:fill="auto"/>
            <w:noWrap/>
            <w:vAlign w:val="bottom"/>
            <w:hideMark/>
          </w:tcPr>
          <w:p w14:paraId="633E50B8"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0.56</w:t>
            </w:r>
          </w:p>
        </w:tc>
        <w:tc>
          <w:tcPr>
            <w:tcW w:w="442" w:type="pct"/>
            <w:shd w:val="clear" w:color="auto" w:fill="auto"/>
            <w:noWrap/>
            <w:vAlign w:val="bottom"/>
            <w:hideMark/>
          </w:tcPr>
          <w:p w14:paraId="68AB9F13"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0.03</w:t>
            </w:r>
          </w:p>
        </w:tc>
        <w:tc>
          <w:tcPr>
            <w:tcW w:w="557" w:type="pct"/>
            <w:shd w:val="clear" w:color="auto" w:fill="auto"/>
            <w:noWrap/>
            <w:vAlign w:val="bottom"/>
            <w:hideMark/>
          </w:tcPr>
          <w:p w14:paraId="3D003017" w14:textId="64AAF2A2"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4</w:t>
            </w:r>
          </w:p>
        </w:tc>
        <w:tc>
          <w:tcPr>
            <w:tcW w:w="524" w:type="pct"/>
            <w:shd w:val="clear" w:color="auto" w:fill="auto"/>
            <w:noWrap/>
            <w:vAlign w:val="bottom"/>
            <w:hideMark/>
          </w:tcPr>
          <w:p w14:paraId="4B41A8F0"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34.47</w:t>
            </w:r>
          </w:p>
        </w:tc>
        <w:tc>
          <w:tcPr>
            <w:tcW w:w="475" w:type="pct"/>
            <w:shd w:val="clear" w:color="auto" w:fill="auto"/>
            <w:noWrap/>
            <w:vAlign w:val="bottom"/>
            <w:hideMark/>
          </w:tcPr>
          <w:p w14:paraId="30FADD13"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1.16</w:t>
            </w:r>
          </w:p>
        </w:tc>
        <w:tc>
          <w:tcPr>
            <w:tcW w:w="493" w:type="pct"/>
            <w:shd w:val="clear" w:color="auto" w:fill="auto"/>
            <w:noWrap/>
            <w:vAlign w:val="bottom"/>
            <w:hideMark/>
          </w:tcPr>
          <w:p w14:paraId="22FFEC3C"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64.16</w:t>
            </w:r>
          </w:p>
        </w:tc>
        <w:tc>
          <w:tcPr>
            <w:tcW w:w="475" w:type="pct"/>
            <w:shd w:val="clear" w:color="auto" w:fill="auto"/>
            <w:noWrap/>
            <w:vAlign w:val="bottom"/>
            <w:hideMark/>
          </w:tcPr>
          <w:p w14:paraId="4F167477"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0.21</w:t>
            </w:r>
          </w:p>
        </w:tc>
      </w:tr>
      <w:tr w:rsidR="00685CD0" w:rsidRPr="00C42E05" w14:paraId="0BC24472" w14:textId="77777777" w:rsidTr="00685CD0">
        <w:trPr>
          <w:trHeight w:val="300"/>
        </w:trPr>
        <w:tc>
          <w:tcPr>
            <w:tcW w:w="537" w:type="pct"/>
            <w:shd w:val="clear" w:color="auto" w:fill="auto"/>
            <w:noWrap/>
            <w:vAlign w:val="bottom"/>
            <w:hideMark/>
          </w:tcPr>
          <w:p w14:paraId="7C4C216E" w14:textId="6BC0209F"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12</w:t>
            </w:r>
          </w:p>
        </w:tc>
        <w:tc>
          <w:tcPr>
            <w:tcW w:w="524" w:type="pct"/>
            <w:shd w:val="clear" w:color="auto" w:fill="auto"/>
            <w:noWrap/>
            <w:vAlign w:val="bottom"/>
            <w:hideMark/>
          </w:tcPr>
          <w:p w14:paraId="0FAB7246"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81.92</w:t>
            </w:r>
          </w:p>
        </w:tc>
        <w:tc>
          <w:tcPr>
            <w:tcW w:w="475" w:type="pct"/>
            <w:shd w:val="clear" w:color="auto" w:fill="auto"/>
            <w:noWrap/>
            <w:vAlign w:val="bottom"/>
            <w:hideMark/>
          </w:tcPr>
          <w:p w14:paraId="3F4B9DE7"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13.17</w:t>
            </w:r>
          </w:p>
        </w:tc>
        <w:tc>
          <w:tcPr>
            <w:tcW w:w="493" w:type="pct"/>
            <w:shd w:val="clear" w:color="auto" w:fill="auto"/>
            <w:noWrap/>
            <w:vAlign w:val="bottom"/>
            <w:hideMark/>
          </w:tcPr>
          <w:p w14:paraId="52F582C7"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4.56</w:t>
            </w:r>
          </w:p>
        </w:tc>
        <w:tc>
          <w:tcPr>
            <w:tcW w:w="442" w:type="pct"/>
            <w:shd w:val="clear" w:color="auto" w:fill="auto"/>
            <w:noWrap/>
            <w:vAlign w:val="bottom"/>
            <w:hideMark/>
          </w:tcPr>
          <w:p w14:paraId="2FA700A8"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0.35</w:t>
            </w:r>
          </w:p>
        </w:tc>
        <w:tc>
          <w:tcPr>
            <w:tcW w:w="557" w:type="pct"/>
            <w:shd w:val="clear" w:color="auto" w:fill="auto"/>
            <w:noWrap/>
            <w:vAlign w:val="bottom"/>
            <w:hideMark/>
          </w:tcPr>
          <w:p w14:paraId="7DC7320A" w14:textId="47A7B593"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12</w:t>
            </w:r>
          </w:p>
        </w:tc>
        <w:tc>
          <w:tcPr>
            <w:tcW w:w="524" w:type="pct"/>
            <w:shd w:val="clear" w:color="auto" w:fill="auto"/>
            <w:noWrap/>
            <w:vAlign w:val="bottom"/>
            <w:hideMark/>
          </w:tcPr>
          <w:p w14:paraId="5DD7AF14"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20.65</w:t>
            </w:r>
          </w:p>
        </w:tc>
        <w:tc>
          <w:tcPr>
            <w:tcW w:w="475" w:type="pct"/>
            <w:shd w:val="clear" w:color="auto" w:fill="auto"/>
            <w:noWrap/>
            <w:vAlign w:val="bottom"/>
            <w:hideMark/>
          </w:tcPr>
          <w:p w14:paraId="36647F70"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5.23</w:t>
            </w:r>
          </w:p>
        </w:tc>
        <w:tc>
          <w:tcPr>
            <w:tcW w:w="493" w:type="pct"/>
            <w:shd w:val="clear" w:color="auto" w:fill="auto"/>
            <w:noWrap/>
            <w:vAlign w:val="bottom"/>
            <w:hideMark/>
          </w:tcPr>
          <w:p w14:paraId="4879B81D"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73.48</w:t>
            </w:r>
          </w:p>
        </w:tc>
        <w:tc>
          <w:tcPr>
            <w:tcW w:w="475" w:type="pct"/>
            <w:shd w:val="clear" w:color="auto" w:fill="auto"/>
            <w:noWrap/>
            <w:vAlign w:val="bottom"/>
            <w:hideMark/>
          </w:tcPr>
          <w:p w14:paraId="009914DE"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0.64</w:t>
            </w:r>
          </w:p>
        </w:tc>
      </w:tr>
      <w:tr w:rsidR="00685CD0" w:rsidRPr="00C42E05" w14:paraId="77BBDC1D" w14:textId="77777777" w:rsidTr="00685CD0">
        <w:trPr>
          <w:trHeight w:val="300"/>
        </w:trPr>
        <w:tc>
          <w:tcPr>
            <w:tcW w:w="537" w:type="pct"/>
            <w:shd w:val="clear" w:color="auto" w:fill="auto"/>
            <w:noWrap/>
            <w:vAlign w:val="bottom"/>
            <w:hideMark/>
          </w:tcPr>
          <w:p w14:paraId="4421575D" w14:textId="3D5B3F23"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21</w:t>
            </w:r>
          </w:p>
        </w:tc>
        <w:tc>
          <w:tcPr>
            <w:tcW w:w="524" w:type="pct"/>
            <w:shd w:val="clear" w:color="auto" w:fill="auto"/>
            <w:noWrap/>
            <w:vAlign w:val="bottom"/>
            <w:hideMark/>
          </w:tcPr>
          <w:p w14:paraId="4E216AD8"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59.20</w:t>
            </w:r>
          </w:p>
        </w:tc>
        <w:tc>
          <w:tcPr>
            <w:tcW w:w="475" w:type="pct"/>
            <w:shd w:val="clear" w:color="auto" w:fill="auto"/>
            <w:noWrap/>
            <w:vAlign w:val="bottom"/>
            <w:hideMark/>
          </w:tcPr>
          <w:p w14:paraId="730CB50F"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30.30</w:t>
            </w:r>
          </w:p>
        </w:tc>
        <w:tc>
          <w:tcPr>
            <w:tcW w:w="493" w:type="pct"/>
            <w:shd w:val="clear" w:color="auto" w:fill="auto"/>
            <w:noWrap/>
            <w:vAlign w:val="bottom"/>
            <w:hideMark/>
          </w:tcPr>
          <w:p w14:paraId="498B036C"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9.44</w:t>
            </w:r>
          </w:p>
        </w:tc>
        <w:tc>
          <w:tcPr>
            <w:tcW w:w="442" w:type="pct"/>
            <w:shd w:val="clear" w:color="auto" w:fill="auto"/>
            <w:noWrap/>
            <w:vAlign w:val="bottom"/>
            <w:hideMark/>
          </w:tcPr>
          <w:p w14:paraId="750F338D"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1.06</w:t>
            </w:r>
          </w:p>
        </w:tc>
        <w:tc>
          <w:tcPr>
            <w:tcW w:w="557" w:type="pct"/>
            <w:shd w:val="clear" w:color="auto" w:fill="auto"/>
            <w:noWrap/>
            <w:vAlign w:val="bottom"/>
            <w:hideMark/>
          </w:tcPr>
          <w:p w14:paraId="1DB7E86F" w14:textId="44645FF4"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21</w:t>
            </w:r>
          </w:p>
        </w:tc>
        <w:tc>
          <w:tcPr>
            <w:tcW w:w="524" w:type="pct"/>
            <w:shd w:val="clear" w:color="auto" w:fill="auto"/>
            <w:noWrap/>
            <w:vAlign w:val="bottom"/>
            <w:hideMark/>
          </w:tcPr>
          <w:p w14:paraId="335CB2EE"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13.00</w:t>
            </w:r>
          </w:p>
        </w:tc>
        <w:tc>
          <w:tcPr>
            <w:tcW w:w="475" w:type="pct"/>
            <w:shd w:val="clear" w:color="auto" w:fill="auto"/>
            <w:noWrap/>
            <w:vAlign w:val="bottom"/>
            <w:hideMark/>
          </w:tcPr>
          <w:p w14:paraId="06492EAE"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8.93</w:t>
            </w:r>
          </w:p>
        </w:tc>
        <w:tc>
          <w:tcPr>
            <w:tcW w:w="493" w:type="pct"/>
            <w:shd w:val="clear" w:color="auto" w:fill="auto"/>
            <w:noWrap/>
            <w:vAlign w:val="bottom"/>
            <w:hideMark/>
          </w:tcPr>
          <w:p w14:paraId="40907100"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77.09</w:t>
            </w:r>
          </w:p>
        </w:tc>
        <w:tc>
          <w:tcPr>
            <w:tcW w:w="475" w:type="pct"/>
            <w:shd w:val="clear" w:color="auto" w:fill="auto"/>
            <w:noWrap/>
            <w:vAlign w:val="bottom"/>
            <w:hideMark/>
          </w:tcPr>
          <w:p w14:paraId="004BD1CA"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0.99</w:t>
            </w:r>
          </w:p>
        </w:tc>
      </w:tr>
      <w:tr w:rsidR="00685CD0" w:rsidRPr="00C42E05" w14:paraId="221B8E51" w14:textId="77777777" w:rsidTr="00685CD0">
        <w:trPr>
          <w:trHeight w:val="300"/>
        </w:trPr>
        <w:tc>
          <w:tcPr>
            <w:tcW w:w="537" w:type="pct"/>
            <w:tcBorders>
              <w:bottom w:val="single" w:sz="4" w:space="0" w:color="auto"/>
            </w:tcBorders>
            <w:shd w:val="clear" w:color="auto" w:fill="auto"/>
            <w:noWrap/>
            <w:vAlign w:val="bottom"/>
            <w:hideMark/>
          </w:tcPr>
          <w:p w14:paraId="5C71BB35" w14:textId="2B2FEAFA"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52</w:t>
            </w:r>
          </w:p>
        </w:tc>
        <w:tc>
          <w:tcPr>
            <w:tcW w:w="524" w:type="pct"/>
            <w:tcBorders>
              <w:bottom w:val="single" w:sz="4" w:space="0" w:color="auto"/>
            </w:tcBorders>
            <w:shd w:val="clear" w:color="auto" w:fill="auto"/>
            <w:noWrap/>
            <w:vAlign w:val="bottom"/>
            <w:hideMark/>
          </w:tcPr>
          <w:p w14:paraId="1227C5C9"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25.70</w:t>
            </w:r>
          </w:p>
        </w:tc>
        <w:tc>
          <w:tcPr>
            <w:tcW w:w="475" w:type="pct"/>
            <w:tcBorders>
              <w:bottom w:val="single" w:sz="4" w:space="0" w:color="auto"/>
            </w:tcBorders>
            <w:shd w:val="clear" w:color="auto" w:fill="auto"/>
            <w:noWrap/>
            <w:vAlign w:val="bottom"/>
            <w:hideMark/>
          </w:tcPr>
          <w:p w14:paraId="1ADB6838"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55.72</w:t>
            </w:r>
          </w:p>
        </w:tc>
        <w:tc>
          <w:tcPr>
            <w:tcW w:w="493" w:type="pct"/>
            <w:tcBorders>
              <w:bottom w:val="single" w:sz="4" w:space="0" w:color="auto"/>
            </w:tcBorders>
            <w:shd w:val="clear" w:color="auto" w:fill="auto"/>
            <w:noWrap/>
            <w:vAlign w:val="bottom"/>
            <w:hideMark/>
          </w:tcPr>
          <w:p w14:paraId="6E39E8A9"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16.26</w:t>
            </w:r>
          </w:p>
        </w:tc>
        <w:tc>
          <w:tcPr>
            <w:tcW w:w="442" w:type="pct"/>
            <w:tcBorders>
              <w:bottom w:val="single" w:sz="4" w:space="0" w:color="auto"/>
            </w:tcBorders>
            <w:shd w:val="clear" w:color="auto" w:fill="auto"/>
            <w:noWrap/>
            <w:vAlign w:val="bottom"/>
            <w:hideMark/>
          </w:tcPr>
          <w:p w14:paraId="3E9F7DB3"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2.31</w:t>
            </w:r>
          </w:p>
        </w:tc>
        <w:tc>
          <w:tcPr>
            <w:tcW w:w="557" w:type="pct"/>
            <w:tcBorders>
              <w:bottom w:val="single" w:sz="4" w:space="0" w:color="auto"/>
            </w:tcBorders>
            <w:shd w:val="clear" w:color="auto" w:fill="auto"/>
            <w:noWrap/>
            <w:vAlign w:val="bottom"/>
            <w:hideMark/>
          </w:tcPr>
          <w:p w14:paraId="0804CCB0" w14:textId="7CF1B9AF"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52</w:t>
            </w:r>
          </w:p>
        </w:tc>
        <w:tc>
          <w:tcPr>
            <w:tcW w:w="524" w:type="pct"/>
            <w:tcBorders>
              <w:bottom w:val="single" w:sz="4" w:space="0" w:color="auto"/>
            </w:tcBorders>
            <w:shd w:val="clear" w:color="auto" w:fill="auto"/>
            <w:noWrap/>
            <w:vAlign w:val="bottom"/>
            <w:hideMark/>
          </w:tcPr>
          <w:p w14:paraId="3B2D3961"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5.45</w:t>
            </w:r>
          </w:p>
        </w:tc>
        <w:tc>
          <w:tcPr>
            <w:tcW w:w="475" w:type="pct"/>
            <w:tcBorders>
              <w:bottom w:val="single" w:sz="4" w:space="0" w:color="auto"/>
            </w:tcBorders>
            <w:shd w:val="clear" w:color="auto" w:fill="auto"/>
            <w:noWrap/>
            <w:vAlign w:val="bottom"/>
            <w:hideMark/>
          </w:tcPr>
          <w:p w14:paraId="50FF15FB"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13.90</w:t>
            </w:r>
          </w:p>
        </w:tc>
        <w:tc>
          <w:tcPr>
            <w:tcW w:w="493" w:type="pct"/>
            <w:tcBorders>
              <w:bottom w:val="single" w:sz="4" w:space="0" w:color="auto"/>
            </w:tcBorders>
            <w:shd w:val="clear" w:color="auto" w:fill="auto"/>
            <w:noWrap/>
            <w:vAlign w:val="bottom"/>
            <w:hideMark/>
          </w:tcPr>
          <w:p w14:paraId="64FB0C8F"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79.22</w:t>
            </w:r>
          </w:p>
        </w:tc>
        <w:tc>
          <w:tcPr>
            <w:tcW w:w="475" w:type="pct"/>
            <w:tcBorders>
              <w:bottom w:val="single" w:sz="4" w:space="0" w:color="auto"/>
            </w:tcBorders>
            <w:shd w:val="clear" w:color="auto" w:fill="auto"/>
            <w:noWrap/>
            <w:vAlign w:val="bottom"/>
            <w:hideMark/>
          </w:tcPr>
          <w:p w14:paraId="0E1DA3A4"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1.43</w:t>
            </w:r>
          </w:p>
        </w:tc>
      </w:tr>
      <w:tr w:rsidR="00685CD0" w:rsidRPr="00C42E05" w14:paraId="3F4DA55C" w14:textId="77777777" w:rsidTr="00685CD0">
        <w:trPr>
          <w:trHeight w:val="300"/>
        </w:trPr>
        <w:tc>
          <w:tcPr>
            <w:tcW w:w="2471" w:type="pct"/>
            <w:gridSpan w:val="5"/>
            <w:tcBorders>
              <w:top w:val="single" w:sz="4" w:space="0" w:color="auto"/>
              <w:bottom w:val="single" w:sz="4" w:space="0" w:color="auto"/>
            </w:tcBorders>
            <w:shd w:val="clear" w:color="auto" w:fill="auto"/>
            <w:noWrap/>
            <w:vAlign w:val="bottom"/>
            <w:hideMark/>
          </w:tcPr>
          <w:p w14:paraId="3B94A6AA" w14:textId="606D68C8"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Variance Decomposition of LPK:</w:t>
            </w:r>
          </w:p>
        </w:tc>
        <w:tc>
          <w:tcPr>
            <w:tcW w:w="2525" w:type="pct"/>
            <w:gridSpan w:val="5"/>
            <w:tcBorders>
              <w:top w:val="single" w:sz="4" w:space="0" w:color="auto"/>
              <w:bottom w:val="single" w:sz="4" w:space="0" w:color="auto"/>
            </w:tcBorders>
            <w:shd w:val="clear" w:color="auto" w:fill="auto"/>
            <w:noWrap/>
            <w:vAlign w:val="bottom"/>
            <w:hideMark/>
          </w:tcPr>
          <w:p w14:paraId="07616ADF" w14:textId="6059A462"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Variance Decomposition of LCN:</w:t>
            </w:r>
          </w:p>
        </w:tc>
      </w:tr>
      <w:tr w:rsidR="00685CD0" w:rsidRPr="00C42E05" w14:paraId="2A030E7E" w14:textId="77777777" w:rsidTr="00685CD0">
        <w:trPr>
          <w:trHeight w:val="458"/>
        </w:trPr>
        <w:tc>
          <w:tcPr>
            <w:tcW w:w="537" w:type="pct"/>
            <w:vMerge w:val="restart"/>
            <w:tcBorders>
              <w:top w:val="nil"/>
              <w:bottom w:val="single" w:sz="4" w:space="0" w:color="auto"/>
            </w:tcBorders>
            <w:shd w:val="clear" w:color="auto" w:fill="auto"/>
            <w:noWrap/>
            <w:hideMark/>
          </w:tcPr>
          <w:p w14:paraId="20CD84AE" w14:textId="3F4E3728" w:rsidR="00685CD0" w:rsidRPr="00C42E05" w:rsidRDefault="00685CD0" w:rsidP="009E6088">
            <w:pPr>
              <w:spacing w:after="0" w:line="240" w:lineRule="auto"/>
              <w:rPr>
                <w:rFonts w:eastAsia="Times New Roman" w:cs="Times New Roman"/>
                <w:color w:val="000000"/>
                <w:sz w:val="18"/>
                <w:szCs w:val="18"/>
              </w:rPr>
            </w:pPr>
          </w:p>
        </w:tc>
        <w:tc>
          <w:tcPr>
            <w:tcW w:w="1934" w:type="pct"/>
            <w:gridSpan w:val="4"/>
            <w:vMerge w:val="restart"/>
            <w:tcBorders>
              <w:top w:val="nil"/>
              <w:bottom w:val="single" w:sz="4" w:space="0" w:color="auto"/>
            </w:tcBorders>
            <w:shd w:val="clear" w:color="auto" w:fill="auto"/>
            <w:hideMark/>
          </w:tcPr>
          <w:p w14:paraId="0767BAEA" w14:textId="77777777" w:rsidR="00685CD0" w:rsidRPr="00C42E05" w:rsidRDefault="00685CD0" w:rsidP="009E6088">
            <w:pPr>
              <w:spacing w:after="0" w:line="240" w:lineRule="auto"/>
              <w:rPr>
                <w:rFonts w:eastAsia="Times New Roman" w:cs="Times New Roman"/>
                <w:color w:val="000000"/>
                <w:sz w:val="18"/>
                <w:szCs w:val="18"/>
              </w:rPr>
            </w:pPr>
            <w:r w:rsidRPr="00C42E05">
              <w:rPr>
                <w:rFonts w:eastAsia="Times New Roman" w:cs="Times New Roman"/>
                <w:color w:val="000000"/>
                <w:sz w:val="18"/>
                <w:szCs w:val="18"/>
              </w:rPr>
              <w:t>% of forecasted variance which is described by changes in</w:t>
            </w:r>
          </w:p>
        </w:tc>
        <w:tc>
          <w:tcPr>
            <w:tcW w:w="557" w:type="pct"/>
            <w:vMerge w:val="restart"/>
            <w:tcBorders>
              <w:top w:val="nil"/>
              <w:bottom w:val="single" w:sz="4" w:space="0" w:color="auto"/>
            </w:tcBorders>
            <w:shd w:val="clear" w:color="auto" w:fill="auto"/>
            <w:noWrap/>
            <w:hideMark/>
          </w:tcPr>
          <w:p w14:paraId="3F3D4EBC" w14:textId="6A043ABC" w:rsidR="00685CD0" w:rsidRPr="00C42E05" w:rsidRDefault="00685CD0" w:rsidP="009E6088">
            <w:pPr>
              <w:spacing w:after="0" w:line="240" w:lineRule="auto"/>
              <w:rPr>
                <w:rFonts w:eastAsia="Times New Roman" w:cs="Times New Roman"/>
                <w:color w:val="000000"/>
                <w:sz w:val="18"/>
                <w:szCs w:val="18"/>
              </w:rPr>
            </w:pPr>
          </w:p>
        </w:tc>
        <w:tc>
          <w:tcPr>
            <w:tcW w:w="1967" w:type="pct"/>
            <w:gridSpan w:val="4"/>
            <w:vMerge w:val="restart"/>
            <w:tcBorders>
              <w:top w:val="nil"/>
              <w:bottom w:val="single" w:sz="4" w:space="0" w:color="auto"/>
            </w:tcBorders>
            <w:shd w:val="clear" w:color="auto" w:fill="auto"/>
            <w:hideMark/>
          </w:tcPr>
          <w:p w14:paraId="2E0251A6" w14:textId="77777777" w:rsidR="00685CD0" w:rsidRPr="00C42E05" w:rsidRDefault="00685CD0" w:rsidP="009E6088">
            <w:pPr>
              <w:spacing w:after="0" w:line="240" w:lineRule="auto"/>
              <w:rPr>
                <w:rFonts w:eastAsia="Times New Roman" w:cs="Times New Roman"/>
                <w:color w:val="000000"/>
                <w:sz w:val="18"/>
                <w:szCs w:val="18"/>
              </w:rPr>
            </w:pPr>
            <w:r w:rsidRPr="00C42E05">
              <w:rPr>
                <w:rFonts w:eastAsia="Times New Roman" w:cs="Times New Roman"/>
                <w:color w:val="000000"/>
                <w:sz w:val="18"/>
                <w:szCs w:val="18"/>
              </w:rPr>
              <w:t>% of forecasted variance which is described by changes in</w:t>
            </w:r>
          </w:p>
        </w:tc>
      </w:tr>
      <w:tr w:rsidR="00685CD0" w:rsidRPr="00C42E05" w14:paraId="7A7DF80A" w14:textId="77777777" w:rsidTr="00685CD0">
        <w:trPr>
          <w:trHeight w:val="458"/>
        </w:trPr>
        <w:tc>
          <w:tcPr>
            <w:tcW w:w="537" w:type="pct"/>
            <w:vMerge/>
            <w:tcBorders>
              <w:top w:val="nil"/>
              <w:bottom w:val="single" w:sz="4" w:space="0" w:color="auto"/>
            </w:tcBorders>
            <w:vAlign w:val="center"/>
            <w:hideMark/>
          </w:tcPr>
          <w:p w14:paraId="524FD2A9" w14:textId="77777777" w:rsidR="00685CD0" w:rsidRPr="00C42E05" w:rsidRDefault="00685CD0" w:rsidP="009E6088">
            <w:pPr>
              <w:spacing w:after="0" w:line="240" w:lineRule="auto"/>
              <w:jc w:val="both"/>
              <w:rPr>
                <w:rFonts w:eastAsia="Times New Roman" w:cs="Times New Roman"/>
                <w:color w:val="000000"/>
                <w:sz w:val="18"/>
                <w:szCs w:val="18"/>
              </w:rPr>
            </w:pPr>
          </w:p>
        </w:tc>
        <w:tc>
          <w:tcPr>
            <w:tcW w:w="1934" w:type="pct"/>
            <w:gridSpan w:val="4"/>
            <w:vMerge/>
            <w:tcBorders>
              <w:top w:val="nil"/>
              <w:bottom w:val="single" w:sz="4" w:space="0" w:color="auto"/>
            </w:tcBorders>
            <w:vAlign w:val="center"/>
            <w:hideMark/>
          </w:tcPr>
          <w:p w14:paraId="5B5183E5" w14:textId="77777777" w:rsidR="00685CD0" w:rsidRPr="00C42E05" w:rsidRDefault="00685CD0" w:rsidP="009E6088">
            <w:pPr>
              <w:spacing w:after="0" w:line="240" w:lineRule="auto"/>
              <w:jc w:val="both"/>
              <w:rPr>
                <w:rFonts w:eastAsia="Times New Roman" w:cs="Times New Roman"/>
                <w:color w:val="000000"/>
                <w:sz w:val="18"/>
                <w:szCs w:val="18"/>
              </w:rPr>
            </w:pPr>
          </w:p>
        </w:tc>
        <w:tc>
          <w:tcPr>
            <w:tcW w:w="557" w:type="pct"/>
            <w:vMerge/>
            <w:tcBorders>
              <w:top w:val="nil"/>
              <w:bottom w:val="single" w:sz="4" w:space="0" w:color="auto"/>
            </w:tcBorders>
            <w:vAlign w:val="center"/>
            <w:hideMark/>
          </w:tcPr>
          <w:p w14:paraId="1C125E82" w14:textId="77777777" w:rsidR="00685CD0" w:rsidRPr="00C42E05" w:rsidRDefault="00685CD0" w:rsidP="009E6088">
            <w:pPr>
              <w:spacing w:after="0" w:line="240" w:lineRule="auto"/>
              <w:jc w:val="both"/>
              <w:rPr>
                <w:rFonts w:eastAsia="Times New Roman" w:cs="Times New Roman"/>
                <w:color w:val="000000"/>
                <w:sz w:val="18"/>
                <w:szCs w:val="18"/>
              </w:rPr>
            </w:pPr>
          </w:p>
        </w:tc>
        <w:tc>
          <w:tcPr>
            <w:tcW w:w="1967" w:type="pct"/>
            <w:gridSpan w:val="4"/>
            <w:vMerge/>
            <w:tcBorders>
              <w:top w:val="nil"/>
              <w:bottom w:val="single" w:sz="4" w:space="0" w:color="auto"/>
            </w:tcBorders>
            <w:vAlign w:val="center"/>
            <w:hideMark/>
          </w:tcPr>
          <w:p w14:paraId="07C0620B" w14:textId="77777777" w:rsidR="00685CD0" w:rsidRPr="00C42E05" w:rsidRDefault="00685CD0" w:rsidP="009E6088">
            <w:pPr>
              <w:spacing w:after="0" w:line="240" w:lineRule="auto"/>
              <w:jc w:val="both"/>
              <w:rPr>
                <w:rFonts w:eastAsia="Times New Roman" w:cs="Times New Roman"/>
                <w:color w:val="000000"/>
                <w:sz w:val="18"/>
                <w:szCs w:val="18"/>
              </w:rPr>
            </w:pPr>
          </w:p>
        </w:tc>
      </w:tr>
      <w:tr w:rsidR="00685CD0" w:rsidRPr="00C42E05" w14:paraId="6717AB3F" w14:textId="77777777" w:rsidTr="00685CD0">
        <w:trPr>
          <w:trHeight w:val="300"/>
        </w:trPr>
        <w:tc>
          <w:tcPr>
            <w:tcW w:w="537" w:type="pct"/>
            <w:tcBorders>
              <w:top w:val="single" w:sz="4" w:space="0" w:color="auto"/>
            </w:tcBorders>
            <w:shd w:val="clear" w:color="auto" w:fill="auto"/>
            <w:noWrap/>
            <w:vAlign w:val="bottom"/>
            <w:hideMark/>
          </w:tcPr>
          <w:p w14:paraId="4A874748" w14:textId="686B69F4"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Period</w:t>
            </w:r>
          </w:p>
        </w:tc>
        <w:tc>
          <w:tcPr>
            <w:tcW w:w="524" w:type="pct"/>
            <w:tcBorders>
              <w:top w:val="single" w:sz="4" w:space="0" w:color="auto"/>
            </w:tcBorders>
            <w:shd w:val="clear" w:color="auto" w:fill="auto"/>
            <w:noWrap/>
            <w:vAlign w:val="bottom"/>
            <w:hideMark/>
          </w:tcPr>
          <w:p w14:paraId="42C68134"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LGER</w:t>
            </w:r>
          </w:p>
        </w:tc>
        <w:tc>
          <w:tcPr>
            <w:tcW w:w="475" w:type="pct"/>
            <w:tcBorders>
              <w:top w:val="single" w:sz="4" w:space="0" w:color="auto"/>
            </w:tcBorders>
            <w:shd w:val="clear" w:color="auto" w:fill="auto"/>
            <w:noWrap/>
            <w:vAlign w:val="bottom"/>
            <w:hideMark/>
          </w:tcPr>
          <w:p w14:paraId="54577EE2"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LPK</w:t>
            </w:r>
          </w:p>
        </w:tc>
        <w:tc>
          <w:tcPr>
            <w:tcW w:w="493" w:type="pct"/>
            <w:tcBorders>
              <w:top w:val="single" w:sz="4" w:space="0" w:color="auto"/>
            </w:tcBorders>
            <w:shd w:val="clear" w:color="auto" w:fill="auto"/>
            <w:noWrap/>
            <w:vAlign w:val="bottom"/>
            <w:hideMark/>
          </w:tcPr>
          <w:p w14:paraId="3BAB7985"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LIND</w:t>
            </w:r>
          </w:p>
        </w:tc>
        <w:tc>
          <w:tcPr>
            <w:tcW w:w="442" w:type="pct"/>
            <w:tcBorders>
              <w:top w:val="single" w:sz="4" w:space="0" w:color="auto"/>
            </w:tcBorders>
            <w:shd w:val="clear" w:color="auto" w:fill="auto"/>
            <w:noWrap/>
            <w:vAlign w:val="bottom"/>
            <w:hideMark/>
          </w:tcPr>
          <w:p w14:paraId="3C61BFDA"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LCN</w:t>
            </w:r>
          </w:p>
        </w:tc>
        <w:tc>
          <w:tcPr>
            <w:tcW w:w="557" w:type="pct"/>
            <w:tcBorders>
              <w:top w:val="single" w:sz="4" w:space="0" w:color="auto"/>
            </w:tcBorders>
            <w:shd w:val="clear" w:color="auto" w:fill="auto"/>
            <w:noWrap/>
            <w:vAlign w:val="bottom"/>
            <w:hideMark/>
          </w:tcPr>
          <w:p w14:paraId="1E9074AF" w14:textId="4EBBE759"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xml:space="preserve"> Period</w:t>
            </w:r>
          </w:p>
        </w:tc>
        <w:tc>
          <w:tcPr>
            <w:tcW w:w="524" w:type="pct"/>
            <w:tcBorders>
              <w:top w:val="single" w:sz="4" w:space="0" w:color="auto"/>
            </w:tcBorders>
            <w:shd w:val="clear" w:color="auto" w:fill="auto"/>
            <w:noWrap/>
            <w:vAlign w:val="bottom"/>
            <w:hideMark/>
          </w:tcPr>
          <w:p w14:paraId="26D91DA4"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LGER</w:t>
            </w:r>
          </w:p>
        </w:tc>
        <w:tc>
          <w:tcPr>
            <w:tcW w:w="475" w:type="pct"/>
            <w:tcBorders>
              <w:top w:val="single" w:sz="4" w:space="0" w:color="auto"/>
            </w:tcBorders>
            <w:shd w:val="clear" w:color="auto" w:fill="auto"/>
            <w:noWrap/>
            <w:vAlign w:val="bottom"/>
            <w:hideMark/>
          </w:tcPr>
          <w:p w14:paraId="7252DBAA"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LPK</w:t>
            </w:r>
          </w:p>
        </w:tc>
        <w:tc>
          <w:tcPr>
            <w:tcW w:w="493" w:type="pct"/>
            <w:tcBorders>
              <w:top w:val="single" w:sz="4" w:space="0" w:color="auto"/>
            </w:tcBorders>
            <w:shd w:val="clear" w:color="auto" w:fill="auto"/>
            <w:noWrap/>
            <w:vAlign w:val="bottom"/>
            <w:hideMark/>
          </w:tcPr>
          <w:p w14:paraId="6FC206B6"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LIND</w:t>
            </w:r>
          </w:p>
        </w:tc>
        <w:tc>
          <w:tcPr>
            <w:tcW w:w="475" w:type="pct"/>
            <w:tcBorders>
              <w:top w:val="single" w:sz="4" w:space="0" w:color="auto"/>
            </w:tcBorders>
            <w:shd w:val="clear" w:color="auto" w:fill="auto"/>
            <w:noWrap/>
            <w:vAlign w:val="bottom"/>
            <w:hideMark/>
          </w:tcPr>
          <w:p w14:paraId="01885AFF"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LCN</w:t>
            </w:r>
          </w:p>
        </w:tc>
      </w:tr>
      <w:tr w:rsidR="00685CD0" w:rsidRPr="00C42E05" w14:paraId="2FEBF29B" w14:textId="77777777" w:rsidTr="00685CD0">
        <w:trPr>
          <w:trHeight w:val="300"/>
        </w:trPr>
        <w:tc>
          <w:tcPr>
            <w:tcW w:w="537" w:type="pct"/>
            <w:shd w:val="clear" w:color="auto" w:fill="auto"/>
            <w:noWrap/>
            <w:vAlign w:val="bottom"/>
            <w:hideMark/>
          </w:tcPr>
          <w:p w14:paraId="43D22205" w14:textId="4F64FC71"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Weeks</w:t>
            </w:r>
          </w:p>
        </w:tc>
        <w:tc>
          <w:tcPr>
            <w:tcW w:w="524" w:type="pct"/>
            <w:shd w:val="clear" w:color="auto" w:fill="auto"/>
            <w:noWrap/>
            <w:vAlign w:val="bottom"/>
            <w:hideMark/>
          </w:tcPr>
          <w:p w14:paraId="6F700556"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75" w:type="pct"/>
            <w:shd w:val="clear" w:color="auto" w:fill="auto"/>
            <w:noWrap/>
            <w:vAlign w:val="bottom"/>
            <w:hideMark/>
          </w:tcPr>
          <w:p w14:paraId="3789A72F"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93" w:type="pct"/>
            <w:shd w:val="clear" w:color="auto" w:fill="auto"/>
            <w:noWrap/>
            <w:vAlign w:val="bottom"/>
            <w:hideMark/>
          </w:tcPr>
          <w:p w14:paraId="36DF8221"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42" w:type="pct"/>
            <w:shd w:val="clear" w:color="auto" w:fill="auto"/>
            <w:noWrap/>
            <w:vAlign w:val="bottom"/>
            <w:hideMark/>
          </w:tcPr>
          <w:p w14:paraId="378FED7A"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557" w:type="pct"/>
            <w:shd w:val="clear" w:color="auto" w:fill="auto"/>
            <w:noWrap/>
            <w:vAlign w:val="bottom"/>
            <w:hideMark/>
          </w:tcPr>
          <w:p w14:paraId="7E6526D7" w14:textId="390CACB4"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Weeks</w:t>
            </w:r>
          </w:p>
        </w:tc>
        <w:tc>
          <w:tcPr>
            <w:tcW w:w="524" w:type="pct"/>
            <w:shd w:val="clear" w:color="auto" w:fill="auto"/>
            <w:noWrap/>
            <w:vAlign w:val="bottom"/>
            <w:hideMark/>
          </w:tcPr>
          <w:p w14:paraId="098FF1DB"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75" w:type="pct"/>
            <w:shd w:val="clear" w:color="auto" w:fill="auto"/>
            <w:noWrap/>
            <w:vAlign w:val="bottom"/>
            <w:hideMark/>
          </w:tcPr>
          <w:p w14:paraId="723E19D3"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93" w:type="pct"/>
            <w:shd w:val="clear" w:color="auto" w:fill="auto"/>
            <w:noWrap/>
            <w:vAlign w:val="bottom"/>
            <w:hideMark/>
          </w:tcPr>
          <w:p w14:paraId="5371A77E"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c>
          <w:tcPr>
            <w:tcW w:w="475" w:type="pct"/>
            <w:shd w:val="clear" w:color="auto" w:fill="auto"/>
            <w:noWrap/>
            <w:vAlign w:val="bottom"/>
            <w:hideMark/>
          </w:tcPr>
          <w:p w14:paraId="4A335FB8"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 </w:t>
            </w:r>
          </w:p>
        </w:tc>
      </w:tr>
      <w:tr w:rsidR="00685CD0" w:rsidRPr="00C42E05" w14:paraId="1F776271" w14:textId="77777777" w:rsidTr="00685CD0">
        <w:trPr>
          <w:trHeight w:val="300"/>
        </w:trPr>
        <w:tc>
          <w:tcPr>
            <w:tcW w:w="537" w:type="pct"/>
            <w:shd w:val="clear" w:color="auto" w:fill="auto"/>
            <w:noWrap/>
            <w:vAlign w:val="bottom"/>
            <w:hideMark/>
          </w:tcPr>
          <w:p w14:paraId="31531203" w14:textId="7A189949"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w:t>
            </w:r>
          </w:p>
        </w:tc>
        <w:tc>
          <w:tcPr>
            <w:tcW w:w="524" w:type="pct"/>
            <w:shd w:val="clear" w:color="auto" w:fill="auto"/>
            <w:noWrap/>
            <w:vAlign w:val="bottom"/>
            <w:hideMark/>
          </w:tcPr>
          <w:p w14:paraId="5AE6D9ED"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1.95</w:t>
            </w:r>
          </w:p>
        </w:tc>
        <w:tc>
          <w:tcPr>
            <w:tcW w:w="475" w:type="pct"/>
            <w:shd w:val="clear" w:color="auto" w:fill="auto"/>
            <w:noWrap/>
            <w:vAlign w:val="bottom"/>
            <w:hideMark/>
          </w:tcPr>
          <w:p w14:paraId="654334F5"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98.05</w:t>
            </w:r>
          </w:p>
        </w:tc>
        <w:tc>
          <w:tcPr>
            <w:tcW w:w="493" w:type="pct"/>
            <w:shd w:val="clear" w:color="auto" w:fill="auto"/>
            <w:noWrap/>
            <w:vAlign w:val="bottom"/>
            <w:hideMark/>
          </w:tcPr>
          <w:p w14:paraId="5E538F5E"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0.00</w:t>
            </w:r>
          </w:p>
        </w:tc>
        <w:tc>
          <w:tcPr>
            <w:tcW w:w="442" w:type="pct"/>
            <w:shd w:val="clear" w:color="auto" w:fill="auto"/>
            <w:noWrap/>
            <w:vAlign w:val="bottom"/>
            <w:hideMark/>
          </w:tcPr>
          <w:p w14:paraId="46AFE65C"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0.00</w:t>
            </w:r>
          </w:p>
        </w:tc>
        <w:tc>
          <w:tcPr>
            <w:tcW w:w="557" w:type="pct"/>
            <w:shd w:val="clear" w:color="auto" w:fill="auto"/>
            <w:noWrap/>
            <w:vAlign w:val="bottom"/>
            <w:hideMark/>
          </w:tcPr>
          <w:p w14:paraId="27E36BAB" w14:textId="59BA9408"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w:t>
            </w:r>
          </w:p>
        </w:tc>
        <w:tc>
          <w:tcPr>
            <w:tcW w:w="524" w:type="pct"/>
            <w:shd w:val="clear" w:color="auto" w:fill="auto"/>
            <w:noWrap/>
            <w:vAlign w:val="bottom"/>
            <w:hideMark/>
          </w:tcPr>
          <w:p w14:paraId="5AA645DA"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4.35</w:t>
            </w:r>
          </w:p>
        </w:tc>
        <w:tc>
          <w:tcPr>
            <w:tcW w:w="475" w:type="pct"/>
            <w:shd w:val="clear" w:color="auto" w:fill="auto"/>
            <w:noWrap/>
            <w:vAlign w:val="bottom"/>
            <w:hideMark/>
          </w:tcPr>
          <w:p w14:paraId="37D2A805"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0.56</w:t>
            </w:r>
          </w:p>
        </w:tc>
        <w:tc>
          <w:tcPr>
            <w:tcW w:w="493" w:type="pct"/>
            <w:shd w:val="clear" w:color="auto" w:fill="auto"/>
            <w:noWrap/>
            <w:vAlign w:val="bottom"/>
            <w:hideMark/>
          </w:tcPr>
          <w:p w14:paraId="278489E8"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0.14</w:t>
            </w:r>
          </w:p>
        </w:tc>
        <w:tc>
          <w:tcPr>
            <w:tcW w:w="475" w:type="pct"/>
            <w:shd w:val="clear" w:color="auto" w:fill="auto"/>
            <w:noWrap/>
            <w:vAlign w:val="bottom"/>
            <w:hideMark/>
          </w:tcPr>
          <w:p w14:paraId="22AB44B4"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94.96</w:t>
            </w:r>
          </w:p>
        </w:tc>
      </w:tr>
      <w:tr w:rsidR="00685CD0" w:rsidRPr="00C42E05" w14:paraId="409329CE" w14:textId="77777777" w:rsidTr="00685CD0">
        <w:trPr>
          <w:trHeight w:val="300"/>
        </w:trPr>
        <w:tc>
          <w:tcPr>
            <w:tcW w:w="537" w:type="pct"/>
            <w:shd w:val="clear" w:color="auto" w:fill="auto"/>
            <w:noWrap/>
            <w:vAlign w:val="bottom"/>
            <w:hideMark/>
          </w:tcPr>
          <w:p w14:paraId="547C30E2" w14:textId="2AC33E5B"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4</w:t>
            </w:r>
          </w:p>
        </w:tc>
        <w:tc>
          <w:tcPr>
            <w:tcW w:w="524" w:type="pct"/>
            <w:shd w:val="clear" w:color="auto" w:fill="auto"/>
            <w:noWrap/>
            <w:vAlign w:val="bottom"/>
            <w:hideMark/>
          </w:tcPr>
          <w:p w14:paraId="3B6C2432"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4.91</w:t>
            </w:r>
          </w:p>
        </w:tc>
        <w:tc>
          <w:tcPr>
            <w:tcW w:w="475" w:type="pct"/>
            <w:shd w:val="clear" w:color="auto" w:fill="auto"/>
            <w:noWrap/>
            <w:vAlign w:val="bottom"/>
            <w:hideMark/>
          </w:tcPr>
          <w:p w14:paraId="3EB560B0"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94.92</w:t>
            </w:r>
          </w:p>
        </w:tc>
        <w:tc>
          <w:tcPr>
            <w:tcW w:w="493" w:type="pct"/>
            <w:shd w:val="clear" w:color="auto" w:fill="auto"/>
            <w:noWrap/>
            <w:vAlign w:val="bottom"/>
            <w:hideMark/>
          </w:tcPr>
          <w:p w14:paraId="4F4B2790"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0.07</w:t>
            </w:r>
          </w:p>
        </w:tc>
        <w:tc>
          <w:tcPr>
            <w:tcW w:w="442" w:type="pct"/>
            <w:shd w:val="clear" w:color="auto" w:fill="auto"/>
            <w:noWrap/>
            <w:vAlign w:val="bottom"/>
            <w:hideMark/>
          </w:tcPr>
          <w:p w14:paraId="1139A12C"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0.10</w:t>
            </w:r>
          </w:p>
        </w:tc>
        <w:tc>
          <w:tcPr>
            <w:tcW w:w="557" w:type="pct"/>
            <w:shd w:val="clear" w:color="auto" w:fill="auto"/>
            <w:noWrap/>
            <w:vAlign w:val="bottom"/>
            <w:hideMark/>
          </w:tcPr>
          <w:p w14:paraId="1BFE370F" w14:textId="2301EA3E"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4</w:t>
            </w:r>
          </w:p>
        </w:tc>
        <w:tc>
          <w:tcPr>
            <w:tcW w:w="524" w:type="pct"/>
            <w:shd w:val="clear" w:color="auto" w:fill="auto"/>
            <w:noWrap/>
            <w:vAlign w:val="bottom"/>
            <w:hideMark/>
          </w:tcPr>
          <w:p w14:paraId="02930D07"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10.17</w:t>
            </w:r>
          </w:p>
        </w:tc>
        <w:tc>
          <w:tcPr>
            <w:tcW w:w="475" w:type="pct"/>
            <w:shd w:val="clear" w:color="auto" w:fill="auto"/>
            <w:noWrap/>
            <w:vAlign w:val="bottom"/>
            <w:hideMark/>
          </w:tcPr>
          <w:p w14:paraId="5E676499"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1.15</w:t>
            </w:r>
          </w:p>
        </w:tc>
        <w:tc>
          <w:tcPr>
            <w:tcW w:w="493" w:type="pct"/>
            <w:shd w:val="clear" w:color="auto" w:fill="auto"/>
            <w:noWrap/>
            <w:vAlign w:val="bottom"/>
            <w:hideMark/>
          </w:tcPr>
          <w:p w14:paraId="3F8B39BB"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0.43</w:t>
            </w:r>
          </w:p>
        </w:tc>
        <w:tc>
          <w:tcPr>
            <w:tcW w:w="475" w:type="pct"/>
            <w:shd w:val="clear" w:color="auto" w:fill="auto"/>
            <w:noWrap/>
            <w:vAlign w:val="bottom"/>
            <w:hideMark/>
          </w:tcPr>
          <w:p w14:paraId="5B32A28F"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88.24</w:t>
            </w:r>
          </w:p>
        </w:tc>
      </w:tr>
      <w:tr w:rsidR="00685CD0" w:rsidRPr="00C42E05" w14:paraId="76B8E489" w14:textId="77777777" w:rsidTr="00685CD0">
        <w:trPr>
          <w:trHeight w:val="300"/>
        </w:trPr>
        <w:tc>
          <w:tcPr>
            <w:tcW w:w="537" w:type="pct"/>
            <w:shd w:val="clear" w:color="auto" w:fill="auto"/>
            <w:noWrap/>
            <w:vAlign w:val="bottom"/>
            <w:hideMark/>
          </w:tcPr>
          <w:p w14:paraId="687078C6" w14:textId="5ACF742B"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12</w:t>
            </w:r>
          </w:p>
        </w:tc>
        <w:tc>
          <w:tcPr>
            <w:tcW w:w="524" w:type="pct"/>
            <w:shd w:val="clear" w:color="auto" w:fill="auto"/>
            <w:noWrap/>
            <w:vAlign w:val="bottom"/>
            <w:hideMark/>
          </w:tcPr>
          <w:p w14:paraId="3DD63A3E"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3.65</w:t>
            </w:r>
          </w:p>
        </w:tc>
        <w:tc>
          <w:tcPr>
            <w:tcW w:w="475" w:type="pct"/>
            <w:shd w:val="clear" w:color="auto" w:fill="auto"/>
            <w:noWrap/>
            <w:vAlign w:val="bottom"/>
            <w:hideMark/>
          </w:tcPr>
          <w:p w14:paraId="5E852F18"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95.99</w:t>
            </w:r>
          </w:p>
        </w:tc>
        <w:tc>
          <w:tcPr>
            <w:tcW w:w="493" w:type="pct"/>
            <w:shd w:val="clear" w:color="auto" w:fill="auto"/>
            <w:noWrap/>
            <w:vAlign w:val="bottom"/>
            <w:hideMark/>
          </w:tcPr>
          <w:p w14:paraId="366C8C01"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0.18</w:t>
            </w:r>
          </w:p>
        </w:tc>
        <w:tc>
          <w:tcPr>
            <w:tcW w:w="442" w:type="pct"/>
            <w:shd w:val="clear" w:color="auto" w:fill="auto"/>
            <w:noWrap/>
            <w:vAlign w:val="bottom"/>
            <w:hideMark/>
          </w:tcPr>
          <w:p w14:paraId="7D43C57F"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0.17</w:t>
            </w:r>
          </w:p>
        </w:tc>
        <w:tc>
          <w:tcPr>
            <w:tcW w:w="557" w:type="pct"/>
            <w:shd w:val="clear" w:color="auto" w:fill="auto"/>
            <w:noWrap/>
            <w:vAlign w:val="bottom"/>
            <w:hideMark/>
          </w:tcPr>
          <w:p w14:paraId="54151B0C" w14:textId="358A48EF"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12</w:t>
            </w:r>
          </w:p>
        </w:tc>
        <w:tc>
          <w:tcPr>
            <w:tcW w:w="524" w:type="pct"/>
            <w:shd w:val="clear" w:color="auto" w:fill="auto"/>
            <w:noWrap/>
            <w:vAlign w:val="bottom"/>
            <w:hideMark/>
          </w:tcPr>
          <w:p w14:paraId="48BB823C"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7.68</w:t>
            </w:r>
          </w:p>
        </w:tc>
        <w:tc>
          <w:tcPr>
            <w:tcW w:w="475" w:type="pct"/>
            <w:shd w:val="clear" w:color="auto" w:fill="auto"/>
            <w:noWrap/>
            <w:vAlign w:val="bottom"/>
            <w:hideMark/>
          </w:tcPr>
          <w:p w14:paraId="5C8020B2"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2.47</w:t>
            </w:r>
          </w:p>
        </w:tc>
        <w:tc>
          <w:tcPr>
            <w:tcW w:w="493" w:type="pct"/>
            <w:shd w:val="clear" w:color="auto" w:fill="auto"/>
            <w:noWrap/>
            <w:vAlign w:val="bottom"/>
            <w:hideMark/>
          </w:tcPr>
          <w:p w14:paraId="3A7331E5"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0.85</w:t>
            </w:r>
          </w:p>
        </w:tc>
        <w:tc>
          <w:tcPr>
            <w:tcW w:w="475" w:type="pct"/>
            <w:shd w:val="clear" w:color="auto" w:fill="auto"/>
            <w:noWrap/>
            <w:vAlign w:val="bottom"/>
            <w:hideMark/>
          </w:tcPr>
          <w:p w14:paraId="704DE0E0"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89.01</w:t>
            </w:r>
          </w:p>
        </w:tc>
      </w:tr>
      <w:tr w:rsidR="00685CD0" w:rsidRPr="00C42E05" w14:paraId="3CBAA16D" w14:textId="77777777" w:rsidTr="00685CD0">
        <w:trPr>
          <w:trHeight w:val="300"/>
        </w:trPr>
        <w:tc>
          <w:tcPr>
            <w:tcW w:w="537" w:type="pct"/>
            <w:shd w:val="clear" w:color="auto" w:fill="auto"/>
            <w:noWrap/>
            <w:vAlign w:val="bottom"/>
            <w:hideMark/>
          </w:tcPr>
          <w:p w14:paraId="44F7650C" w14:textId="5021EF8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21</w:t>
            </w:r>
          </w:p>
        </w:tc>
        <w:tc>
          <w:tcPr>
            <w:tcW w:w="524" w:type="pct"/>
            <w:shd w:val="clear" w:color="auto" w:fill="auto"/>
            <w:noWrap/>
            <w:vAlign w:val="bottom"/>
            <w:hideMark/>
          </w:tcPr>
          <w:p w14:paraId="61EC59F8"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2.71</w:t>
            </w:r>
          </w:p>
        </w:tc>
        <w:tc>
          <w:tcPr>
            <w:tcW w:w="475" w:type="pct"/>
            <w:shd w:val="clear" w:color="auto" w:fill="auto"/>
            <w:noWrap/>
            <w:vAlign w:val="bottom"/>
            <w:hideMark/>
          </w:tcPr>
          <w:p w14:paraId="43446C6A"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96.79</w:t>
            </w:r>
          </w:p>
        </w:tc>
        <w:tc>
          <w:tcPr>
            <w:tcW w:w="493" w:type="pct"/>
            <w:shd w:val="clear" w:color="auto" w:fill="auto"/>
            <w:noWrap/>
            <w:vAlign w:val="bottom"/>
            <w:hideMark/>
          </w:tcPr>
          <w:p w14:paraId="32FFF8DF"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0.27</w:t>
            </w:r>
          </w:p>
        </w:tc>
        <w:tc>
          <w:tcPr>
            <w:tcW w:w="442" w:type="pct"/>
            <w:shd w:val="clear" w:color="auto" w:fill="auto"/>
            <w:noWrap/>
            <w:vAlign w:val="bottom"/>
            <w:hideMark/>
          </w:tcPr>
          <w:p w14:paraId="20FB5F1A"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0.22</w:t>
            </w:r>
          </w:p>
        </w:tc>
        <w:tc>
          <w:tcPr>
            <w:tcW w:w="557" w:type="pct"/>
            <w:shd w:val="clear" w:color="auto" w:fill="auto"/>
            <w:noWrap/>
            <w:vAlign w:val="bottom"/>
            <w:hideMark/>
          </w:tcPr>
          <w:p w14:paraId="7E3FC1F0" w14:textId="0EA7EB7A"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21</w:t>
            </w:r>
          </w:p>
        </w:tc>
        <w:tc>
          <w:tcPr>
            <w:tcW w:w="524" w:type="pct"/>
            <w:shd w:val="clear" w:color="auto" w:fill="auto"/>
            <w:noWrap/>
            <w:vAlign w:val="bottom"/>
            <w:hideMark/>
          </w:tcPr>
          <w:p w14:paraId="6F000FBE"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5.78</w:t>
            </w:r>
          </w:p>
        </w:tc>
        <w:tc>
          <w:tcPr>
            <w:tcW w:w="475" w:type="pct"/>
            <w:shd w:val="clear" w:color="auto" w:fill="auto"/>
            <w:noWrap/>
            <w:vAlign w:val="bottom"/>
            <w:hideMark/>
          </w:tcPr>
          <w:p w14:paraId="7068DA17"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3.52</w:t>
            </w:r>
          </w:p>
        </w:tc>
        <w:tc>
          <w:tcPr>
            <w:tcW w:w="493" w:type="pct"/>
            <w:shd w:val="clear" w:color="auto" w:fill="auto"/>
            <w:noWrap/>
            <w:vAlign w:val="bottom"/>
            <w:hideMark/>
          </w:tcPr>
          <w:p w14:paraId="01839E1E"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1.14</w:t>
            </w:r>
          </w:p>
        </w:tc>
        <w:tc>
          <w:tcPr>
            <w:tcW w:w="475" w:type="pct"/>
            <w:shd w:val="clear" w:color="auto" w:fill="auto"/>
            <w:noWrap/>
            <w:vAlign w:val="bottom"/>
            <w:hideMark/>
          </w:tcPr>
          <w:p w14:paraId="31559ED2"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89.56</w:t>
            </w:r>
          </w:p>
        </w:tc>
      </w:tr>
      <w:tr w:rsidR="00685CD0" w:rsidRPr="00C42E05" w14:paraId="448E29AA" w14:textId="77777777" w:rsidTr="00685CD0">
        <w:trPr>
          <w:trHeight w:val="300"/>
        </w:trPr>
        <w:tc>
          <w:tcPr>
            <w:tcW w:w="537" w:type="pct"/>
            <w:shd w:val="clear" w:color="auto" w:fill="auto"/>
            <w:noWrap/>
            <w:vAlign w:val="bottom"/>
            <w:hideMark/>
          </w:tcPr>
          <w:p w14:paraId="60606319" w14:textId="2C0B4F31"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52</w:t>
            </w:r>
          </w:p>
        </w:tc>
        <w:tc>
          <w:tcPr>
            <w:tcW w:w="524" w:type="pct"/>
            <w:shd w:val="clear" w:color="auto" w:fill="auto"/>
            <w:noWrap/>
            <w:vAlign w:val="bottom"/>
            <w:hideMark/>
          </w:tcPr>
          <w:p w14:paraId="6CC69CF5"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1.65</w:t>
            </w:r>
          </w:p>
        </w:tc>
        <w:tc>
          <w:tcPr>
            <w:tcW w:w="475" w:type="pct"/>
            <w:shd w:val="clear" w:color="auto" w:fill="auto"/>
            <w:noWrap/>
            <w:vAlign w:val="bottom"/>
            <w:hideMark/>
          </w:tcPr>
          <w:p w14:paraId="1A804BE8"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97.68</w:t>
            </w:r>
          </w:p>
        </w:tc>
        <w:tc>
          <w:tcPr>
            <w:tcW w:w="493" w:type="pct"/>
            <w:shd w:val="clear" w:color="auto" w:fill="auto"/>
            <w:noWrap/>
            <w:vAlign w:val="bottom"/>
            <w:hideMark/>
          </w:tcPr>
          <w:p w14:paraId="46ECC225"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0.39</w:t>
            </w:r>
          </w:p>
        </w:tc>
        <w:tc>
          <w:tcPr>
            <w:tcW w:w="442" w:type="pct"/>
            <w:shd w:val="clear" w:color="auto" w:fill="auto"/>
            <w:noWrap/>
            <w:vAlign w:val="bottom"/>
            <w:hideMark/>
          </w:tcPr>
          <w:p w14:paraId="03E0EE7F"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0.28</w:t>
            </w:r>
          </w:p>
        </w:tc>
        <w:tc>
          <w:tcPr>
            <w:tcW w:w="557" w:type="pct"/>
            <w:shd w:val="clear" w:color="auto" w:fill="auto"/>
            <w:noWrap/>
            <w:vAlign w:val="bottom"/>
            <w:hideMark/>
          </w:tcPr>
          <w:p w14:paraId="1DDD712C" w14:textId="5C644888"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52</w:t>
            </w:r>
          </w:p>
        </w:tc>
        <w:tc>
          <w:tcPr>
            <w:tcW w:w="524" w:type="pct"/>
            <w:shd w:val="clear" w:color="auto" w:fill="auto"/>
            <w:noWrap/>
            <w:vAlign w:val="bottom"/>
            <w:hideMark/>
          </w:tcPr>
          <w:p w14:paraId="534B5862"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3.54</w:t>
            </w:r>
          </w:p>
        </w:tc>
        <w:tc>
          <w:tcPr>
            <w:tcW w:w="475" w:type="pct"/>
            <w:shd w:val="clear" w:color="auto" w:fill="auto"/>
            <w:noWrap/>
            <w:vAlign w:val="bottom"/>
            <w:hideMark/>
          </w:tcPr>
          <w:p w14:paraId="0C8A98AC"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4.99</w:t>
            </w:r>
          </w:p>
        </w:tc>
        <w:tc>
          <w:tcPr>
            <w:tcW w:w="493" w:type="pct"/>
            <w:shd w:val="clear" w:color="auto" w:fill="auto"/>
            <w:noWrap/>
            <w:vAlign w:val="bottom"/>
            <w:hideMark/>
          </w:tcPr>
          <w:p w14:paraId="3C0FB5A2"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1.54</w:t>
            </w:r>
          </w:p>
        </w:tc>
        <w:tc>
          <w:tcPr>
            <w:tcW w:w="475" w:type="pct"/>
            <w:shd w:val="clear" w:color="auto" w:fill="auto"/>
            <w:noWrap/>
            <w:vAlign w:val="bottom"/>
            <w:hideMark/>
          </w:tcPr>
          <w:p w14:paraId="41B7D5B4" w14:textId="77777777" w:rsidR="00685CD0" w:rsidRPr="00C42E05" w:rsidRDefault="00685CD0"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89.93</w:t>
            </w:r>
          </w:p>
        </w:tc>
      </w:tr>
      <w:tr w:rsidR="00DD7712" w:rsidRPr="00C42E05" w14:paraId="0847CB9E" w14:textId="77777777" w:rsidTr="00685CD0">
        <w:trPr>
          <w:trHeight w:val="300"/>
        </w:trPr>
        <w:tc>
          <w:tcPr>
            <w:tcW w:w="5000" w:type="pct"/>
            <w:gridSpan w:val="10"/>
            <w:shd w:val="clear" w:color="auto" w:fill="auto"/>
            <w:noWrap/>
            <w:vAlign w:val="bottom"/>
            <w:hideMark/>
          </w:tcPr>
          <w:p w14:paraId="1CE13F58" w14:textId="77777777" w:rsidR="00DD7712" w:rsidRPr="00C42E05" w:rsidRDefault="00DD7712" w:rsidP="009E6088">
            <w:pPr>
              <w:spacing w:after="0" w:line="240" w:lineRule="auto"/>
              <w:jc w:val="both"/>
              <w:rPr>
                <w:rFonts w:eastAsia="Times New Roman" w:cs="Times New Roman"/>
                <w:color w:val="000000"/>
                <w:sz w:val="18"/>
                <w:szCs w:val="18"/>
              </w:rPr>
            </w:pPr>
            <w:r w:rsidRPr="00C42E05">
              <w:rPr>
                <w:rFonts w:eastAsia="Times New Roman" w:cs="Times New Roman"/>
                <w:color w:val="000000"/>
                <w:sz w:val="18"/>
                <w:szCs w:val="18"/>
              </w:rPr>
              <w:t>Cholesky ordering: LGER LPK LIND LCN</w:t>
            </w:r>
          </w:p>
        </w:tc>
      </w:tr>
    </w:tbl>
    <w:p w14:paraId="455B2C2A" w14:textId="18B6330B" w:rsidR="00DD7712" w:rsidRDefault="00DD7712" w:rsidP="009E6088">
      <w:pPr>
        <w:spacing w:after="0" w:line="240" w:lineRule="auto"/>
        <w:jc w:val="both"/>
        <w:rPr>
          <w:rFonts w:cs="Times New Roman"/>
          <w:sz w:val="20"/>
          <w:szCs w:val="20"/>
        </w:rPr>
      </w:pPr>
      <w:r w:rsidRPr="00F201EA">
        <w:rPr>
          <w:rFonts w:cs="Times New Roman"/>
          <w:i/>
          <w:iCs/>
          <w:sz w:val="20"/>
          <w:szCs w:val="20"/>
        </w:rPr>
        <w:t>Source:</w:t>
      </w:r>
      <w:r w:rsidRPr="00F201EA">
        <w:rPr>
          <w:rFonts w:cs="Times New Roman"/>
          <w:sz w:val="20"/>
          <w:szCs w:val="20"/>
        </w:rPr>
        <w:t xml:space="preserve"> Authors' estimation</w:t>
      </w:r>
    </w:p>
    <w:p w14:paraId="20D0E438" w14:textId="77777777" w:rsidR="00D23AF2" w:rsidRPr="00F201EA" w:rsidRDefault="00D23AF2" w:rsidP="009E6088">
      <w:pPr>
        <w:spacing w:after="0" w:line="240" w:lineRule="auto"/>
        <w:jc w:val="both"/>
        <w:rPr>
          <w:rFonts w:cs="Times New Roman"/>
          <w:sz w:val="20"/>
          <w:szCs w:val="20"/>
        </w:rPr>
      </w:pPr>
    </w:p>
    <w:p w14:paraId="55BA10D6" w14:textId="77777777" w:rsidR="00DD7712" w:rsidRPr="00835AA0" w:rsidRDefault="00DD7712" w:rsidP="009E6088">
      <w:pPr>
        <w:pStyle w:val="NormalWeb"/>
        <w:shd w:val="clear" w:color="auto" w:fill="FFFFFF"/>
        <w:spacing w:before="0" w:beforeAutospacing="0" w:after="0" w:afterAutospacing="0"/>
        <w:ind w:firstLine="720"/>
        <w:jc w:val="both"/>
        <w:rPr>
          <w:bCs/>
        </w:rPr>
      </w:pPr>
      <w:r w:rsidRPr="00835AA0">
        <w:rPr>
          <w:bCs/>
        </w:rPr>
        <w:t>The Indian market in the short run is dependent on the German market (around 34% of its variance value is explained by the German market) whereas in the 52 weeks the Indian market becomes endogenous explaining 79 percent of its own value. 10 percent of the value of the variance of the Chinese market is explained by the fluctuations in the German market in the 4 weeks period and in the 52 weeks period, China retains its exogeneity by explaining 90 percent of its own value through its own fluctuations.</w:t>
      </w:r>
    </w:p>
    <w:p w14:paraId="5E24C9D1" w14:textId="4DF8A72B" w:rsidR="00DD7712" w:rsidRDefault="00DD7712" w:rsidP="00012590">
      <w:pPr>
        <w:spacing w:after="0" w:line="240" w:lineRule="auto"/>
        <w:ind w:left="720"/>
        <w:jc w:val="both"/>
        <w:rPr>
          <w:rFonts w:cs="Times New Roman"/>
          <w:szCs w:val="24"/>
        </w:rPr>
      </w:pPr>
    </w:p>
    <w:p w14:paraId="5732043F" w14:textId="34D9C6BE" w:rsidR="007C6215" w:rsidRDefault="007C6215" w:rsidP="00012590">
      <w:pPr>
        <w:spacing w:after="0" w:line="240" w:lineRule="auto"/>
        <w:ind w:left="720"/>
        <w:jc w:val="both"/>
        <w:rPr>
          <w:rFonts w:cs="Times New Roman"/>
          <w:szCs w:val="24"/>
        </w:rPr>
      </w:pPr>
    </w:p>
    <w:p w14:paraId="21AA4968" w14:textId="1CCEE137" w:rsidR="007C6215" w:rsidRDefault="007C6215" w:rsidP="00012590">
      <w:pPr>
        <w:spacing w:after="0" w:line="240" w:lineRule="auto"/>
        <w:ind w:left="720"/>
        <w:jc w:val="both"/>
        <w:rPr>
          <w:rFonts w:cs="Times New Roman"/>
          <w:szCs w:val="24"/>
        </w:rPr>
      </w:pPr>
    </w:p>
    <w:p w14:paraId="47A2CAEE" w14:textId="4B4FDF08" w:rsidR="007C6215" w:rsidRDefault="007C6215" w:rsidP="00012590">
      <w:pPr>
        <w:spacing w:after="0" w:line="240" w:lineRule="auto"/>
        <w:ind w:left="720"/>
        <w:jc w:val="both"/>
        <w:rPr>
          <w:rFonts w:cs="Times New Roman"/>
          <w:szCs w:val="24"/>
        </w:rPr>
      </w:pPr>
    </w:p>
    <w:p w14:paraId="522C1630" w14:textId="005C18F1" w:rsidR="007C6215" w:rsidRDefault="007C6215" w:rsidP="00012590">
      <w:pPr>
        <w:spacing w:after="0" w:line="240" w:lineRule="auto"/>
        <w:ind w:left="720"/>
        <w:jc w:val="both"/>
        <w:rPr>
          <w:rFonts w:cs="Times New Roman"/>
          <w:szCs w:val="24"/>
        </w:rPr>
      </w:pPr>
    </w:p>
    <w:p w14:paraId="68357F6F" w14:textId="6766B3C5" w:rsidR="007C6215" w:rsidRDefault="007C6215" w:rsidP="00012590">
      <w:pPr>
        <w:spacing w:after="0" w:line="240" w:lineRule="auto"/>
        <w:ind w:left="720"/>
        <w:jc w:val="both"/>
        <w:rPr>
          <w:rFonts w:cs="Times New Roman"/>
          <w:szCs w:val="24"/>
        </w:rPr>
      </w:pPr>
    </w:p>
    <w:p w14:paraId="6A0B6AC0" w14:textId="530B2DF4" w:rsidR="007C6215" w:rsidRDefault="007C6215" w:rsidP="00012590">
      <w:pPr>
        <w:spacing w:after="0" w:line="240" w:lineRule="auto"/>
        <w:ind w:left="720"/>
        <w:jc w:val="both"/>
        <w:rPr>
          <w:rFonts w:cs="Times New Roman"/>
          <w:szCs w:val="24"/>
        </w:rPr>
      </w:pPr>
    </w:p>
    <w:p w14:paraId="6EEEBA30" w14:textId="5769A764" w:rsidR="007C6215" w:rsidRDefault="007C6215" w:rsidP="00012590">
      <w:pPr>
        <w:spacing w:after="0" w:line="240" w:lineRule="auto"/>
        <w:ind w:left="720"/>
        <w:jc w:val="both"/>
        <w:rPr>
          <w:rFonts w:cs="Times New Roman"/>
          <w:szCs w:val="24"/>
        </w:rPr>
      </w:pPr>
    </w:p>
    <w:p w14:paraId="0B478D29" w14:textId="52FF0B9A" w:rsidR="007C6215" w:rsidRDefault="007C6215" w:rsidP="00012590">
      <w:pPr>
        <w:spacing w:after="0" w:line="240" w:lineRule="auto"/>
        <w:ind w:left="720"/>
        <w:jc w:val="both"/>
        <w:rPr>
          <w:rFonts w:cs="Times New Roman"/>
          <w:szCs w:val="24"/>
        </w:rPr>
      </w:pPr>
    </w:p>
    <w:p w14:paraId="0DDA1AB8" w14:textId="3095CF6A" w:rsidR="00012590" w:rsidRDefault="00DD7712" w:rsidP="009E6088">
      <w:pPr>
        <w:pStyle w:val="NoSpacing"/>
        <w:rPr>
          <w:rFonts w:ascii="Times New Roman" w:eastAsia="Times New Roman" w:hAnsi="Times New Roman" w:cs="Times New Roman"/>
          <w:b/>
          <w:sz w:val="20"/>
          <w:szCs w:val="20"/>
        </w:rPr>
      </w:pPr>
      <w:r w:rsidRPr="00012590">
        <w:rPr>
          <w:rFonts w:ascii="Times New Roman" w:eastAsia="Times New Roman" w:hAnsi="Times New Roman" w:cs="Times New Roman"/>
          <w:b/>
          <w:sz w:val="20"/>
          <w:szCs w:val="20"/>
        </w:rPr>
        <w:t xml:space="preserve">Table </w:t>
      </w:r>
      <w:r w:rsidR="00D23AF2">
        <w:rPr>
          <w:rFonts w:ascii="Times New Roman" w:eastAsia="Times New Roman" w:hAnsi="Times New Roman" w:cs="Times New Roman"/>
          <w:b/>
          <w:sz w:val="20"/>
          <w:szCs w:val="20"/>
        </w:rPr>
        <w:t>4</w:t>
      </w:r>
      <w:r w:rsidRPr="00012590">
        <w:rPr>
          <w:rFonts w:ascii="Times New Roman" w:eastAsia="Times New Roman" w:hAnsi="Times New Roman" w:cs="Times New Roman"/>
          <w:b/>
          <w:sz w:val="20"/>
          <w:szCs w:val="20"/>
        </w:rPr>
        <w:t>.8</w:t>
      </w:r>
    </w:p>
    <w:p w14:paraId="445F3C3B" w14:textId="6861DFF8" w:rsidR="00DD7712" w:rsidRPr="00012590" w:rsidRDefault="00DD7712" w:rsidP="009E6088">
      <w:pPr>
        <w:pStyle w:val="NoSpacing"/>
        <w:rPr>
          <w:rFonts w:ascii="Times New Roman" w:eastAsia="Times New Roman" w:hAnsi="Times New Roman" w:cs="Times New Roman"/>
          <w:b/>
          <w:i/>
          <w:iCs/>
          <w:sz w:val="20"/>
          <w:szCs w:val="20"/>
        </w:rPr>
      </w:pPr>
      <w:r w:rsidRPr="00012590">
        <w:rPr>
          <w:rFonts w:ascii="Times New Roman" w:eastAsia="Times New Roman" w:hAnsi="Times New Roman" w:cs="Times New Roman"/>
          <w:b/>
          <w:i/>
          <w:iCs/>
          <w:sz w:val="20"/>
          <w:szCs w:val="20"/>
        </w:rPr>
        <w:t>Variance decomposition for the system including the Japanese market</w:t>
      </w:r>
    </w:p>
    <w:tbl>
      <w:tblPr>
        <w:tblW w:w="5000" w:type="pct"/>
        <w:tblBorders>
          <w:top w:val="single" w:sz="12" w:space="0" w:color="auto"/>
          <w:bottom w:val="single" w:sz="12" w:space="0" w:color="auto"/>
        </w:tblBorders>
        <w:tblLayout w:type="fixed"/>
        <w:tblLook w:val="04A0" w:firstRow="1" w:lastRow="0" w:firstColumn="1" w:lastColumn="0" w:noHBand="0" w:noVBand="1"/>
      </w:tblPr>
      <w:tblGrid>
        <w:gridCol w:w="810"/>
        <w:gridCol w:w="516"/>
        <w:gridCol w:w="611"/>
        <w:gridCol w:w="634"/>
        <w:gridCol w:w="613"/>
        <w:gridCol w:w="694"/>
        <w:gridCol w:w="611"/>
        <w:gridCol w:w="548"/>
        <w:gridCol w:w="634"/>
        <w:gridCol w:w="611"/>
      </w:tblGrid>
      <w:tr w:rsidR="009E6088" w:rsidRPr="00012590" w14:paraId="0F4AB22C" w14:textId="77777777" w:rsidTr="007C6215">
        <w:trPr>
          <w:trHeight w:val="300"/>
        </w:trPr>
        <w:tc>
          <w:tcPr>
            <w:tcW w:w="2534" w:type="pct"/>
            <w:gridSpan w:val="5"/>
            <w:tcBorders>
              <w:top w:val="single" w:sz="12" w:space="0" w:color="auto"/>
              <w:bottom w:val="single" w:sz="4" w:space="0" w:color="auto"/>
            </w:tcBorders>
            <w:shd w:val="clear" w:color="auto" w:fill="auto"/>
            <w:noWrap/>
            <w:vAlign w:val="bottom"/>
            <w:hideMark/>
          </w:tcPr>
          <w:p w14:paraId="14966D17" w14:textId="31D6DCB7" w:rsidR="009E6088" w:rsidRPr="00012590" w:rsidRDefault="009E6088"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Variance Decomposition of LJN:</w:t>
            </w:r>
          </w:p>
        </w:tc>
        <w:tc>
          <w:tcPr>
            <w:tcW w:w="2466" w:type="pct"/>
            <w:gridSpan w:val="5"/>
            <w:tcBorders>
              <w:top w:val="single" w:sz="12" w:space="0" w:color="auto"/>
              <w:bottom w:val="single" w:sz="4" w:space="0" w:color="auto"/>
            </w:tcBorders>
            <w:shd w:val="clear" w:color="auto" w:fill="auto"/>
            <w:noWrap/>
            <w:vAlign w:val="bottom"/>
            <w:hideMark/>
          </w:tcPr>
          <w:p w14:paraId="644A3E73" w14:textId="4301A9AB" w:rsidR="009E6088" w:rsidRPr="00012590" w:rsidRDefault="009E6088"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Variance Decomposition of LIND:</w:t>
            </w:r>
          </w:p>
        </w:tc>
      </w:tr>
      <w:tr w:rsidR="00012590" w:rsidRPr="00012590" w14:paraId="4108893E" w14:textId="77777777" w:rsidTr="007C6215">
        <w:trPr>
          <w:trHeight w:val="458"/>
        </w:trPr>
        <w:tc>
          <w:tcPr>
            <w:tcW w:w="645" w:type="pct"/>
            <w:vMerge w:val="restart"/>
            <w:tcBorders>
              <w:top w:val="single" w:sz="4" w:space="0" w:color="auto"/>
              <w:bottom w:val="single" w:sz="4" w:space="0" w:color="auto"/>
            </w:tcBorders>
            <w:shd w:val="clear" w:color="auto" w:fill="auto"/>
            <w:noWrap/>
            <w:hideMark/>
          </w:tcPr>
          <w:p w14:paraId="3FA20725" w14:textId="54B878E3" w:rsidR="009E6088" w:rsidRPr="00012590" w:rsidRDefault="009E6088" w:rsidP="00012590">
            <w:pPr>
              <w:spacing w:after="0" w:line="240" w:lineRule="auto"/>
              <w:rPr>
                <w:rFonts w:eastAsia="Times New Roman" w:cs="Times New Roman"/>
                <w:color w:val="000000"/>
                <w:sz w:val="18"/>
                <w:szCs w:val="18"/>
              </w:rPr>
            </w:pPr>
          </w:p>
        </w:tc>
        <w:tc>
          <w:tcPr>
            <w:tcW w:w="1890" w:type="pct"/>
            <w:gridSpan w:val="4"/>
            <w:vMerge w:val="restart"/>
            <w:tcBorders>
              <w:top w:val="single" w:sz="4" w:space="0" w:color="auto"/>
              <w:bottom w:val="single" w:sz="4" w:space="0" w:color="auto"/>
            </w:tcBorders>
            <w:shd w:val="clear" w:color="auto" w:fill="auto"/>
            <w:hideMark/>
          </w:tcPr>
          <w:p w14:paraId="45F8E305" w14:textId="77777777" w:rsidR="009E6088" w:rsidRPr="00012590" w:rsidRDefault="009E6088" w:rsidP="00012590">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 of forecasted variance which is described by changes in</w:t>
            </w:r>
          </w:p>
        </w:tc>
        <w:tc>
          <w:tcPr>
            <w:tcW w:w="552" w:type="pct"/>
            <w:vMerge w:val="restart"/>
            <w:tcBorders>
              <w:top w:val="single" w:sz="4" w:space="0" w:color="auto"/>
              <w:bottom w:val="single" w:sz="4" w:space="0" w:color="auto"/>
            </w:tcBorders>
            <w:shd w:val="clear" w:color="auto" w:fill="auto"/>
            <w:noWrap/>
            <w:hideMark/>
          </w:tcPr>
          <w:p w14:paraId="7EB726C1" w14:textId="4402916E" w:rsidR="009E6088" w:rsidRPr="00012590" w:rsidRDefault="009E6088" w:rsidP="00012590">
            <w:pPr>
              <w:spacing w:after="0" w:line="240" w:lineRule="auto"/>
              <w:rPr>
                <w:rFonts w:eastAsia="Times New Roman" w:cs="Times New Roman"/>
                <w:color w:val="000000"/>
                <w:sz w:val="18"/>
                <w:szCs w:val="18"/>
              </w:rPr>
            </w:pPr>
          </w:p>
        </w:tc>
        <w:tc>
          <w:tcPr>
            <w:tcW w:w="1914" w:type="pct"/>
            <w:gridSpan w:val="4"/>
            <w:vMerge w:val="restart"/>
            <w:tcBorders>
              <w:top w:val="single" w:sz="4" w:space="0" w:color="auto"/>
              <w:bottom w:val="single" w:sz="4" w:space="0" w:color="auto"/>
            </w:tcBorders>
            <w:shd w:val="clear" w:color="auto" w:fill="auto"/>
            <w:hideMark/>
          </w:tcPr>
          <w:p w14:paraId="5356B91E" w14:textId="77777777" w:rsidR="009E6088" w:rsidRPr="00012590" w:rsidRDefault="009E6088" w:rsidP="00012590">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 of forecasted variance which is described by changes in</w:t>
            </w:r>
          </w:p>
        </w:tc>
      </w:tr>
      <w:tr w:rsidR="00012590" w:rsidRPr="00012590" w14:paraId="6272B6A3" w14:textId="77777777" w:rsidTr="007C6215">
        <w:trPr>
          <w:trHeight w:val="458"/>
        </w:trPr>
        <w:tc>
          <w:tcPr>
            <w:tcW w:w="645" w:type="pct"/>
            <w:vMerge/>
            <w:tcBorders>
              <w:top w:val="nil"/>
              <w:bottom w:val="single" w:sz="4" w:space="0" w:color="auto"/>
            </w:tcBorders>
            <w:vAlign w:val="center"/>
            <w:hideMark/>
          </w:tcPr>
          <w:p w14:paraId="7F85E517" w14:textId="77777777" w:rsidR="009E6088" w:rsidRPr="00012590" w:rsidRDefault="009E6088" w:rsidP="009E6088">
            <w:pPr>
              <w:spacing w:after="0" w:line="240" w:lineRule="auto"/>
              <w:jc w:val="both"/>
              <w:rPr>
                <w:rFonts w:eastAsia="Times New Roman" w:cs="Times New Roman"/>
                <w:color w:val="000000"/>
                <w:sz w:val="18"/>
                <w:szCs w:val="18"/>
              </w:rPr>
            </w:pPr>
          </w:p>
        </w:tc>
        <w:tc>
          <w:tcPr>
            <w:tcW w:w="1890" w:type="pct"/>
            <w:gridSpan w:val="4"/>
            <w:vMerge/>
            <w:tcBorders>
              <w:top w:val="nil"/>
              <w:bottom w:val="single" w:sz="4" w:space="0" w:color="auto"/>
            </w:tcBorders>
            <w:vAlign w:val="center"/>
            <w:hideMark/>
          </w:tcPr>
          <w:p w14:paraId="4EB28DD4" w14:textId="77777777" w:rsidR="009E6088" w:rsidRPr="00012590" w:rsidRDefault="009E6088" w:rsidP="009E6088">
            <w:pPr>
              <w:spacing w:after="0" w:line="240" w:lineRule="auto"/>
              <w:jc w:val="both"/>
              <w:rPr>
                <w:rFonts w:eastAsia="Times New Roman" w:cs="Times New Roman"/>
                <w:color w:val="000000"/>
                <w:sz w:val="18"/>
                <w:szCs w:val="18"/>
              </w:rPr>
            </w:pPr>
          </w:p>
        </w:tc>
        <w:tc>
          <w:tcPr>
            <w:tcW w:w="552" w:type="pct"/>
            <w:vMerge/>
            <w:tcBorders>
              <w:top w:val="nil"/>
              <w:bottom w:val="single" w:sz="4" w:space="0" w:color="auto"/>
            </w:tcBorders>
            <w:vAlign w:val="center"/>
            <w:hideMark/>
          </w:tcPr>
          <w:p w14:paraId="69C776BA" w14:textId="77777777" w:rsidR="009E6088" w:rsidRPr="00012590" w:rsidRDefault="009E6088" w:rsidP="009E6088">
            <w:pPr>
              <w:spacing w:after="0" w:line="240" w:lineRule="auto"/>
              <w:jc w:val="both"/>
              <w:rPr>
                <w:rFonts w:eastAsia="Times New Roman" w:cs="Times New Roman"/>
                <w:color w:val="000000"/>
                <w:sz w:val="18"/>
                <w:szCs w:val="18"/>
              </w:rPr>
            </w:pPr>
          </w:p>
        </w:tc>
        <w:tc>
          <w:tcPr>
            <w:tcW w:w="1914" w:type="pct"/>
            <w:gridSpan w:val="4"/>
            <w:vMerge/>
            <w:tcBorders>
              <w:top w:val="nil"/>
              <w:bottom w:val="single" w:sz="4" w:space="0" w:color="auto"/>
            </w:tcBorders>
            <w:vAlign w:val="center"/>
            <w:hideMark/>
          </w:tcPr>
          <w:p w14:paraId="2422B47C" w14:textId="77777777" w:rsidR="009E6088" w:rsidRPr="00012590" w:rsidRDefault="009E6088" w:rsidP="009E6088">
            <w:pPr>
              <w:spacing w:after="0" w:line="240" w:lineRule="auto"/>
              <w:jc w:val="both"/>
              <w:rPr>
                <w:rFonts w:eastAsia="Times New Roman" w:cs="Times New Roman"/>
                <w:color w:val="000000"/>
                <w:sz w:val="18"/>
                <w:szCs w:val="18"/>
              </w:rPr>
            </w:pPr>
          </w:p>
        </w:tc>
      </w:tr>
      <w:tr w:rsidR="007C6215" w:rsidRPr="00012590" w14:paraId="3CED4A7E" w14:textId="77777777" w:rsidTr="007C6215">
        <w:trPr>
          <w:trHeight w:val="300"/>
        </w:trPr>
        <w:tc>
          <w:tcPr>
            <w:tcW w:w="645" w:type="pct"/>
            <w:tcBorders>
              <w:top w:val="single" w:sz="4" w:space="0" w:color="auto"/>
              <w:bottom w:val="single" w:sz="4" w:space="0" w:color="auto"/>
            </w:tcBorders>
            <w:shd w:val="clear" w:color="auto" w:fill="auto"/>
            <w:noWrap/>
            <w:hideMark/>
          </w:tcPr>
          <w:p w14:paraId="4858C753" w14:textId="62E7BB5D"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Period</w:t>
            </w:r>
          </w:p>
        </w:tc>
        <w:tc>
          <w:tcPr>
            <w:tcW w:w="411" w:type="pct"/>
            <w:tcBorders>
              <w:top w:val="single" w:sz="4" w:space="0" w:color="auto"/>
              <w:bottom w:val="single" w:sz="4" w:space="0" w:color="auto"/>
            </w:tcBorders>
            <w:shd w:val="clear" w:color="auto" w:fill="auto"/>
            <w:noWrap/>
            <w:hideMark/>
          </w:tcPr>
          <w:p w14:paraId="10E39598"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LJN</w:t>
            </w:r>
          </w:p>
        </w:tc>
        <w:tc>
          <w:tcPr>
            <w:tcW w:w="486" w:type="pct"/>
            <w:tcBorders>
              <w:top w:val="single" w:sz="4" w:space="0" w:color="auto"/>
              <w:bottom w:val="single" w:sz="4" w:space="0" w:color="auto"/>
            </w:tcBorders>
            <w:shd w:val="clear" w:color="auto" w:fill="auto"/>
            <w:noWrap/>
            <w:hideMark/>
          </w:tcPr>
          <w:p w14:paraId="05EEA4EA"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LPK</w:t>
            </w:r>
          </w:p>
        </w:tc>
        <w:tc>
          <w:tcPr>
            <w:tcW w:w="505" w:type="pct"/>
            <w:tcBorders>
              <w:top w:val="single" w:sz="4" w:space="0" w:color="auto"/>
              <w:bottom w:val="single" w:sz="4" w:space="0" w:color="auto"/>
            </w:tcBorders>
            <w:shd w:val="clear" w:color="auto" w:fill="auto"/>
            <w:noWrap/>
            <w:hideMark/>
          </w:tcPr>
          <w:p w14:paraId="2F395D6E"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LIND</w:t>
            </w:r>
          </w:p>
        </w:tc>
        <w:tc>
          <w:tcPr>
            <w:tcW w:w="486" w:type="pct"/>
            <w:tcBorders>
              <w:top w:val="single" w:sz="4" w:space="0" w:color="auto"/>
              <w:bottom w:val="single" w:sz="4" w:space="0" w:color="auto"/>
            </w:tcBorders>
            <w:shd w:val="clear" w:color="auto" w:fill="auto"/>
            <w:noWrap/>
            <w:hideMark/>
          </w:tcPr>
          <w:p w14:paraId="46C2162F"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LCN</w:t>
            </w:r>
          </w:p>
        </w:tc>
        <w:tc>
          <w:tcPr>
            <w:tcW w:w="552" w:type="pct"/>
            <w:tcBorders>
              <w:top w:val="single" w:sz="4" w:space="0" w:color="auto"/>
              <w:bottom w:val="single" w:sz="4" w:space="0" w:color="auto"/>
            </w:tcBorders>
            <w:shd w:val="clear" w:color="auto" w:fill="auto"/>
            <w:noWrap/>
            <w:hideMark/>
          </w:tcPr>
          <w:p w14:paraId="63B6F649" w14:textId="11938A83"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Period</w:t>
            </w:r>
          </w:p>
        </w:tc>
        <w:tc>
          <w:tcPr>
            <w:tcW w:w="486" w:type="pct"/>
            <w:tcBorders>
              <w:top w:val="single" w:sz="4" w:space="0" w:color="auto"/>
              <w:bottom w:val="single" w:sz="4" w:space="0" w:color="auto"/>
            </w:tcBorders>
            <w:shd w:val="clear" w:color="auto" w:fill="auto"/>
            <w:noWrap/>
            <w:hideMark/>
          </w:tcPr>
          <w:p w14:paraId="7D132FA0"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LJN</w:t>
            </w:r>
          </w:p>
        </w:tc>
        <w:tc>
          <w:tcPr>
            <w:tcW w:w="436" w:type="pct"/>
            <w:tcBorders>
              <w:top w:val="single" w:sz="4" w:space="0" w:color="auto"/>
              <w:bottom w:val="single" w:sz="4" w:space="0" w:color="auto"/>
            </w:tcBorders>
            <w:shd w:val="clear" w:color="auto" w:fill="auto"/>
            <w:noWrap/>
            <w:hideMark/>
          </w:tcPr>
          <w:p w14:paraId="6416F68C"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LPK</w:t>
            </w:r>
          </w:p>
        </w:tc>
        <w:tc>
          <w:tcPr>
            <w:tcW w:w="505" w:type="pct"/>
            <w:tcBorders>
              <w:top w:val="single" w:sz="4" w:space="0" w:color="auto"/>
              <w:bottom w:val="single" w:sz="4" w:space="0" w:color="auto"/>
            </w:tcBorders>
            <w:shd w:val="clear" w:color="auto" w:fill="auto"/>
            <w:noWrap/>
            <w:hideMark/>
          </w:tcPr>
          <w:p w14:paraId="5FFD4893"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LIND</w:t>
            </w:r>
          </w:p>
        </w:tc>
        <w:tc>
          <w:tcPr>
            <w:tcW w:w="486" w:type="pct"/>
            <w:tcBorders>
              <w:top w:val="single" w:sz="4" w:space="0" w:color="auto"/>
              <w:bottom w:val="single" w:sz="4" w:space="0" w:color="auto"/>
            </w:tcBorders>
            <w:shd w:val="clear" w:color="auto" w:fill="auto"/>
            <w:noWrap/>
            <w:hideMark/>
          </w:tcPr>
          <w:p w14:paraId="12D628F0"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LCN</w:t>
            </w:r>
          </w:p>
        </w:tc>
      </w:tr>
      <w:tr w:rsidR="007C6215" w:rsidRPr="00012590" w14:paraId="76B14B35" w14:textId="77777777" w:rsidTr="007C6215">
        <w:trPr>
          <w:trHeight w:val="300"/>
        </w:trPr>
        <w:tc>
          <w:tcPr>
            <w:tcW w:w="645" w:type="pct"/>
            <w:tcBorders>
              <w:top w:val="single" w:sz="4" w:space="0" w:color="auto"/>
            </w:tcBorders>
            <w:shd w:val="clear" w:color="auto" w:fill="auto"/>
            <w:noWrap/>
            <w:vAlign w:val="bottom"/>
            <w:hideMark/>
          </w:tcPr>
          <w:p w14:paraId="64C65F94" w14:textId="00CE500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Week</w:t>
            </w:r>
          </w:p>
        </w:tc>
        <w:tc>
          <w:tcPr>
            <w:tcW w:w="411" w:type="pct"/>
            <w:tcBorders>
              <w:top w:val="single" w:sz="4" w:space="0" w:color="auto"/>
            </w:tcBorders>
            <w:shd w:val="clear" w:color="auto" w:fill="auto"/>
            <w:noWrap/>
            <w:vAlign w:val="bottom"/>
            <w:hideMark/>
          </w:tcPr>
          <w:p w14:paraId="294DA97A"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486" w:type="pct"/>
            <w:tcBorders>
              <w:top w:val="single" w:sz="4" w:space="0" w:color="auto"/>
            </w:tcBorders>
            <w:shd w:val="clear" w:color="auto" w:fill="auto"/>
            <w:noWrap/>
            <w:vAlign w:val="bottom"/>
            <w:hideMark/>
          </w:tcPr>
          <w:p w14:paraId="236B78B3"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505" w:type="pct"/>
            <w:tcBorders>
              <w:top w:val="single" w:sz="4" w:space="0" w:color="auto"/>
            </w:tcBorders>
            <w:shd w:val="clear" w:color="auto" w:fill="auto"/>
            <w:noWrap/>
            <w:vAlign w:val="bottom"/>
            <w:hideMark/>
          </w:tcPr>
          <w:p w14:paraId="6D023A86"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486" w:type="pct"/>
            <w:tcBorders>
              <w:top w:val="single" w:sz="4" w:space="0" w:color="auto"/>
            </w:tcBorders>
            <w:shd w:val="clear" w:color="auto" w:fill="auto"/>
            <w:noWrap/>
            <w:vAlign w:val="bottom"/>
            <w:hideMark/>
          </w:tcPr>
          <w:p w14:paraId="098C1C2C"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552" w:type="pct"/>
            <w:tcBorders>
              <w:top w:val="single" w:sz="4" w:space="0" w:color="auto"/>
            </w:tcBorders>
            <w:shd w:val="clear" w:color="auto" w:fill="auto"/>
            <w:noWrap/>
            <w:vAlign w:val="bottom"/>
            <w:hideMark/>
          </w:tcPr>
          <w:p w14:paraId="50EFC105" w14:textId="31001C33"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Week</w:t>
            </w:r>
          </w:p>
        </w:tc>
        <w:tc>
          <w:tcPr>
            <w:tcW w:w="486" w:type="pct"/>
            <w:tcBorders>
              <w:top w:val="single" w:sz="4" w:space="0" w:color="auto"/>
            </w:tcBorders>
            <w:shd w:val="clear" w:color="auto" w:fill="auto"/>
            <w:noWrap/>
            <w:vAlign w:val="bottom"/>
            <w:hideMark/>
          </w:tcPr>
          <w:p w14:paraId="18CCAD71"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436" w:type="pct"/>
            <w:tcBorders>
              <w:top w:val="single" w:sz="4" w:space="0" w:color="auto"/>
            </w:tcBorders>
            <w:shd w:val="clear" w:color="auto" w:fill="auto"/>
            <w:noWrap/>
            <w:vAlign w:val="bottom"/>
            <w:hideMark/>
          </w:tcPr>
          <w:p w14:paraId="7F268C9B"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505" w:type="pct"/>
            <w:tcBorders>
              <w:top w:val="single" w:sz="4" w:space="0" w:color="auto"/>
            </w:tcBorders>
            <w:shd w:val="clear" w:color="auto" w:fill="auto"/>
            <w:noWrap/>
            <w:vAlign w:val="bottom"/>
            <w:hideMark/>
          </w:tcPr>
          <w:p w14:paraId="04ED1E3C"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486" w:type="pct"/>
            <w:tcBorders>
              <w:top w:val="single" w:sz="4" w:space="0" w:color="auto"/>
            </w:tcBorders>
            <w:shd w:val="clear" w:color="auto" w:fill="auto"/>
            <w:noWrap/>
            <w:vAlign w:val="bottom"/>
            <w:hideMark/>
          </w:tcPr>
          <w:p w14:paraId="17AD8418"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r>
      <w:tr w:rsidR="007C6215" w:rsidRPr="00012590" w14:paraId="7A4A663F" w14:textId="77777777" w:rsidTr="007C6215">
        <w:trPr>
          <w:trHeight w:val="300"/>
        </w:trPr>
        <w:tc>
          <w:tcPr>
            <w:tcW w:w="645" w:type="pct"/>
            <w:shd w:val="clear" w:color="auto" w:fill="auto"/>
            <w:noWrap/>
            <w:vAlign w:val="bottom"/>
            <w:hideMark/>
          </w:tcPr>
          <w:p w14:paraId="1521AC23" w14:textId="6D2930AD"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w:t>
            </w:r>
          </w:p>
        </w:tc>
        <w:tc>
          <w:tcPr>
            <w:tcW w:w="411" w:type="pct"/>
            <w:shd w:val="clear" w:color="auto" w:fill="auto"/>
            <w:noWrap/>
            <w:vAlign w:val="bottom"/>
            <w:hideMark/>
          </w:tcPr>
          <w:p w14:paraId="47D57A41"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100</w:t>
            </w:r>
          </w:p>
        </w:tc>
        <w:tc>
          <w:tcPr>
            <w:tcW w:w="486" w:type="pct"/>
            <w:shd w:val="clear" w:color="auto" w:fill="auto"/>
            <w:noWrap/>
            <w:vAlign w:val="bottom"/>
            <w:hideMark/>
          </w:tcPr>
          <w:p w14:paraId="63BFEAA6"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w:t>
            </w:r>
          </w:p>
        </w:tc>
        <w:tc>
          <w:tcPr>
            <w:tcW w:w="505" w:type="pct"/>
            <w:shd w:val="clear" w:color="auto" w:fill="auto"/>
            <w:noWrap/>
            <w:vAlign w:val="bottom"/>
            <w:hideMark/>
          </w:tcPr>
          <w:p w14:paraId="5499D6BE"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w:t>
            </w:r>
          </w:p>
        </w:tc>
        <w:tc>
          <w:tcPr>
            <w:tcW w:w="486" w:type="pct"/>
            <w:shd w:val="clear" w:color="auto" w:fill="auto"/>
            <w:noWrap/>
            <w:vAlign w:val="bottom"/>
            <w:hideMark/>
          </w:tcPr>
          <w:p w14:paraId="2CD01B34"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w:t>
            </w:r>
          </w:p>
        </w:tc>
        <w:tc>
          <w:tcPr>
            <w:tcW w:w="552" w:type="pct"/>
            <w:shd w:val="clear" w:color="auto" w:fill="auto"/>
            <w:noWrap/>
            <w:vAlign w:val="bottom"/>
            <w:hideMark/>
          </w:tcPr>
          <w:p w14:paraId="4CB473E6" w14:textId="49B354A5"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w:t>
            </w:r>
          </w:p>
        </w:tc>
        <w:tc>
          <w:tcPr>
            <w:tcW w:w="486" w:type="pct"/>
            <w:shd w:val="clear" w:color="auto" w:fill="auto"/>
            <w:noWrap/>
            <w:vAlign w:val="bottom"/>
            <w:hideMark/>
          </w:tcPr>
          <w:p w14:paraId="41CF1732"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31.33</w:t>
            </w:r>
          </w:p>
        </w:tc>
        <w:tc>
          <w:tcPr>
            <w:tcW w:w="436" w:type="pct"/>
            <w:shd w:val="clear" w:color="auto" w:fill="auto"/>
            <w:noWrap/>
            <w:vAlign w:val="bottom"/>
            <w:hideMark/>
          </w:tcPr>
          <w:p w14:paraId="40B9AE6F"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0.37</w:t>
            </w:r>
          </w:p>
        </w:tc>
        <w:tc>
          <w:tcPr>
            <w:tcW w:w="505" w:type="pct"/>
            <w:shd w:val="clear" w:color="auto" w:fill="auto"/>
            <w:noWrap/>
            <w:vAlign w:val="bottom"/>
            <w:hideMark/>
          </w:tcPr>
          <w:p w14:paraId="2E65A6ED"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68.30</w:t>
            </w:r>
          </w:p>
        </w:tc>
        <w:tc>
          <w:tcPr>
            <w:tcW w:w="486" w:type="pct"/>
            <w:shd w:val="clear" w:color="auto" w:fill="auto"/>
            <w:noWrap/>
            <w:vAlign w:val="bottom"/>
            <w:hideMark/>
          </w:tcPr>
          <w:p w14:paraId="0CC19A55"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0.00</w:t>
            </w:r>
          </w:p>
        </w:tc>
      </w:tr>
      <w:tr w:rsidR="007C6215" w:rsidRPr="00012590" w14:paraId="56CD1579" w14:textId="77777777" w:rsidTr="007C6215">
        <w:trPr>
          <w:trHeight w:val="300"/>
        </w:trPr>
        <w:tc>
          <w:tcPr>
            <w:tcW w:w="645" w:type="pct"/>
            <w:shd w:val="clear" w:color="auto" w:fill="auto"/>
            <w:noWrap/>
            <w:vAlign w:val="bottom"/>
            <w:hideMark/>
          </w:tcPr>
          <w:p w14:paraId="540B77C9" w14:textId="285944D3"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4</w:t>
            </w:r>
          </w:p>
        </w:tc>
        <w:tc>
          <w:tcPr>
            <w:tcW w:w="411" w:type="pct"/>
            <w:shd w:val="clear" w:color="auto" w:fill="auto"/>
            <w:noWrap/>
            <w:vAlign w:val="bottom"/>
            <w:hideMark/>
          </w:tcPr>
          <w:p w14:paraId="56FF49A9"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99.39</w:t>
            </w:r>
          </w:p>
        </w:tc>
        <w:tc>
          <w:tcPr>
            <w:tcW w:w="486" w:type="pct"/>
            <w:shd w:val="clear" w:color="auto" w:fill="auto"/>
            <w:noWrap/>
            <w:vAlign w:val="bottom"/>
            <w:hideMark/>
          </w:tcPr>
          <w:p w14:paraId="1AB9CAF6"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0.05</w:t>
            </w:r>
          </w:p>
        </w:tc>
        <w:tc>
          <w:tcPr>
            <w:tcW w:w="505" w:type="pct"/>
            <w:shd w:val="clear" w:color="auto" w:fill="auto"/>
            <w:noWrap/>
            <w:vAlign w:val="bottom"/>
            <w:hideMark/>
          </w:tcPr>
          <w:p w14:paraId="64AC0ECA"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0.25</w:t>
            </w:r>
          </w:p>
        </w:tc>
        <w:tc>
          <w:tcPr>
            <w:tcW w:w="486" w:type="pct"/>
            <w:shd w:val="clear" w:color="auto" w:fill="auto"/>
            <w:noWrap/>
            <w:vAlign w:val="bottom"/>
            <w:hideMark/>
          </w:tcPr>
          <w:p w14:paraId="37C049E7"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0.30</w:t>
            </w:r>
          </w:p>
        </w:tc>
        <w:tc>
          <w:tcPr>
            <w:tcW w:w="552" w:type="pct"/>
            <w:shd w:val="clear" w:color="auto" w:fill="auto"/>
            <w:noWrap/>
            <w:vAlign w:val="bottom"/>
            <w:hideMark/>
          </w:tcPr>
          <w:p w14:paraId="2EC445AE" w14:textId="7A4EC702"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4</w:t>
            </w:r>
          </w:p>
        </w:tc>
        <w:tc>
          <w:tcPr>
            <w:tcW w:w="486" w:type="pct"/>
            <w:shd w:val="clear" w:color="auto" w:fill="auto"/>
            <w:noWrap/>
            <w:vAlign w:val="bottom"/>
            <w:hideMark/>
          </w:tcPr>
          <w:p w14:paraId="3AB1E314"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28.78</w:t>
            </w:r>
          </w:p>
        </w:tc>
        <w:tc>
          <w:tcPr>
            <w:tcW w:w="436" w:type="pct"/>
            <w:shd w:val="clear" w:color="auto" w:fill="auto"/>
            <w:noWrap/>
            <w:vAlign w:val="bottom"/>
            <w:hideMark/>
          </w:tcPr>
          <w:p w14:paraId="556138F3"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1.31</w:t>
            </w:r>
          </w:p>
        </w:tc>
        <w:tc>
          <w:tcPr>
            <w:tcW w:w="505" w:type="pct"/>
            <w:shd w:val="clear" w:color="auto" w:fill="auto"/>
            <w:noWrap/>
            <w:vAlign w:val="bottom"/>
            <w:hideMark/>
          </w:tcPr>
          <w:p w14:paraId="0DD2B572"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69.20</w:t>
            </w:r>
          </w:p>
        </w:tc>
        <w:tc>
          <w:tcPr>
            <w:tcW w:w="486" w:type="pct"/>
            <w:shd w:val="clear" w:color="auto" w:fill="auto"/>
            <w:noWrap/>
            <w:vAlign w:val="bottom"/>
            <w:hideMark/>
          </w:tcPr>
          <w:p w14:paraId="678790DB"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0.70</w:t>
            </w:r>
          </w:p>
        </w:tc>
      </w:tr>
      <w:tr w:rsidR="007C6215" w:rsidRPr="00012590" w14:paraId="13ED750A" w14:textId="77777777" w:rsidTr="007C6215">
        <w:trPr>
          <w:trHeight w:val="300"/>
        </w:trPr>
        <w:tc>
          <w:tcPr>
            <w:tcW w:w="645" w:type="pct"/>
            <w:shd w:val="clear" w:color="auto" w:fill="auto"/>
            <w:noWrap/>
            <w:vAlign w:val="bottom"/>
            <w:hideMark/>
          </w:tcPr>
          <w:p w14:paraId="49322FE9" w14:textId="607987F6"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12</w:t>
            </w:r>
          </w:p>
        </w:tc>
        <w:tc>
          <w:tcPr>
            <w:tcW w:w="411" w:type="pct"/>
            <w:shd w:val="clear" w:color="auto" w:fill="auto"/>
            <w:noWrap/>
            <w:vAlign w:val="bottom"/>
            <w:hideMark/>
          </w:tcPr>
          <w:p w14:paraId="2564DB28"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95.23</w:t>
            </w:r>
          </w:p>
        </w:tc>
        <w:tc>
          <w:tcPr>
            <w:tcW w:w="486" w:type="pct"/>
            <w:shd w:val="clear" w:color="auto" w:fill="auto"/>
            <w:noWrap/>
            <w:vAlign w:val="bottom"/>
            <w:hideMark/>
          </w:tcPr>
          <w:p w14:paraId="29385B62"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1.42</w:t>
            </w:r>
          </w:p>
        </w:tc>
        <w:tc>
          <w:tcPr>
            <w:tcW w:w="505" w:type="pct"/>
            <w:shd w:val="clear" w:color="auto" w:fill="auto"/>
            <w:noWrap/>
            <w:vAlign w:val="bottom"/>
            <w:hideMark/>
          </w:tcPr>
          <w:p w14:paraId="72168DDF"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0.34</w:t>
            </w:r>
          </w:p>
        </w:tc>
        <w:tc>
          <w:tcPr>
            <w:tcW w:w="486" w:type="pct"/>
            <w:shd w:val="clear" w:color="auto" w:fill="auto"/>
            <w:noWrap/>
            <w:vAlign w:val="bottom"/>
            <w:hideMark/>
          </w:tcPr>
          <w:p w14:paraId="664DAAF5"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3.01</w:t>
            </w:r>
          </w:p>
        </w:tc>
        <w:tc>
          <w:tcPr>
            <w:tcW w:w="552" w:type="pct"/>
            <w:shd w:val="clear" w:color="auto" w:fill="auto"/>
            <w:noWrap/>
            <w:vAlign w:val="bottom"/>
            <w:hideMark/>
          </w:tcPr>
          <w:p w14:paraId="026C04D1" w14:textId="0E8BBFD2"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12</w:t>
            </w:r>
          </w:p>
        </w:tc>
        <w:tc>
          <w:tcPr>
            <w:tcW w:w="486" w:type="pct"/>
            <w:shd w:val="clear" w:color="auto" w:fill="auto"/>
            <w:noWrap/>
            <w:vAlign w:val="bottom"/>
            <w:hideMark/>
          </w:tcPr>
          <w:p w14:paraId="05018804"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25.28</w:t>
            </w:r>
          </w:p>
        </w:tc>
        <w:tc>
          <w:tcPr>
            <w:tcW w:w="436" w:type="pct"/>
            <w:shd w:val="clear" w:color="auto" w:fill="auto"/>
            <w:noWrap/>
            <w:vAlign w:val="bottom"/>
            <w:hideMark/>
          </w:tcPr>
          <w:p w14:paraId="26CBBCE0"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3.81</w:t>
            </w:r>
          </w:p>
        </w:tc>
        <w:tc>
          <w:tcPr>
            <w:tcW w:w="505" w:type="pct"/>
            <w:shd w:val="clear" w:color="auto" w:fill="auto"/>
            <w:noWrap/>
            <w:vAlign w:val="bottom"/>
            <w:hideMark/>
          </w:tcPr>
          <w:p w14:paraId="7119A96A"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68.33</w:t>
            </w:r>
          </w:p>
        </w:tc>
        <w:tc>
          <w:tcPr>
            <w:tcW w:w="486" w:type="pct"/>
            <w:shd w:val="clear" w:color="auto" w:fill="auto"/>
            <w:noWrap/>
            <w:vAlign w:val="bottom"/>
            <w:hideMark/>
          </w:tcPr>
          <w:p w14:paraId="0085467A"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2.58</w:t>
            </w:r>
          </w:p>
        </w:tc>
      </w:tr>
      <w:tr w:rsidR="007C6215" w:rsidRPr="00012590" w14:paraId="09A2FD2D" w14:textId="77777777" w:rsidTr="007C6215">
        <w:trPr>
          <w:trHeight w:val="300"/>
        </w:trPr>
        <w:tc>
          <w:tcPr>
            <w:tcW w:w="645" w:type="pct"/>
            <w:shd w:val="clear" w:color="auto" w:fill="auto"/>
            <w:noWrap/>
            <w:vAlign w:val="bottom"/>
            <w:hideMark/>
          </w:tcPr>
          <w:p w14:paraId="4ACE5125" w14:textId="0DFFA175"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21</w:t>
            </w:r>
          </w:p>
        </w:tc>
        <w:tc>
          <w:tcPr>
            <w:tcW w:w="411" w:type="pct"/>
            <w:shd w:val="clear" w:color="auto" w:fill="auto"/>
            <w:noWrap/>
            <w:vAlign w:val="bottom"/>
            <w:hideMark/>
          </w:tcPr>
          <w:p w14:paraId="680BE725"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89.50</w:t>
            </w:r>
          </w:p>
        </w:tc>
        <w:tc>
          <w:tcPr>
            <w:tcW w:w="486" w:type="pct"/>
            <w:shd w:val="clear" w:color="auto" w:fill="auto"/>
            <w:noWrap/>
            <w:vAlign w:val="bottom"/>
            <w:hideMark/>
          </w:tcPr>
          <w:p w14:paraId="2BAF71C6"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3.56</w:t>
            </w:r>
          </w:p>
        </w:tc>
        <w:tc>
          <w:tcPr>
            <w:tcW w:w="505" w:type="pct"/>
            <w:shd w:val="clear" w:color="auto" w:fill="auto"/>
            <w:noWrap/>
            <w:vAlign w:val="bottom"/>
            <w:hideMark/>
          </w:tcPr>
          <w:p w14:paraId="04AC9206"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0.92</w:t>
            </w:r>
          </w:p>
        </w:tc>
        <w:tc>
          <w:tcPr>
            <w:tcW w:w="486" w:type="pct"/>
            <w:shd w:val="clear" w:color="auto" w:fill="auto"/>
            <w:noWrap/>
            <w:vAlign w:val="bottom"/>
            <w:hideMark/>
          </w:tcPr>
          <w:p w14:paraId="6B6AA287"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6.06</w:t>
            </w:r>
          </w:p>
        </w:tc>
        <w:tc>
          <w:tcPr>
            <w:tcW w:w="552" w:type="pct"/>
            <w:shd w:val="clear" w:color="auto" w:fill="auto"/>
            <w:noWrap/>
            <w:vAlign w:val="bottom"/>
            <w:hideMark/>
          </w:tcPr>
          <w:p w14:paraId="511FDAC9" w14:textId="20C12D79"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21</w:t>
            </w:r>
          </w:p>
        </w:tc>
        <w:tc>
          <w:tcPr>
            <w:tcW w:w="486" w:type="pct"/>
            <w:shd w:val="clear" w:color="auto" w:fill="auto"/>
            <w:noWrap/>
            <w:vAlign w:val="bottom"/>
            <w:hideMark/>
          </w:tcPr>
          <w:p w14:paraId="4E192E14"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22.92</w:t>
            </w:r>
          </w:p>
        </w:tc>
        <w:tc>
          <w:tcPr>
            <w:tcW w:w="436" w:type="pct"/>
            <w:shd w:val="clear" w:color="auto" w:fill="auto"/>
            <w:noWrap/>
            <w:vAlign w:val="bottom"/>
            <w:hideMark/>
          </w:tcPr>
          <w:p w14:paraId="3709A609"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5.89</w:t>
            </w:r>
          </w:p>
        </w:tc>
        <w:tc>
          <w:tcPr>
            <w:tcW w:w="505" w:type="pct"/>
            <w:shd w:val="clear" w:color="auto" w:fill="auto"/>
            <w:noWrap/>
            <w:vAlign w:val="bottom"/>
            <w:hideMark/>
          </w:tcPr>
          <w:p w14:paraId="083368E9"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66.99</w:t>
            </w:r>
          </w:p>
        </w:tc>
        <w:tc>
          <w:tcPr>
            <w:tcW w:w="486" w:type="pct"/>
            <w:shd w:val="clear" w:color="auto" w:fill="auto"/>
            <w:noWrap/>
            <w:vAlign w:val="bottom"/>
            <w:hideMark/>
          </w:tcPr>
          <w:p w14:paraId="374C6A9E"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4.20</w:t>
            </w:r>
          </w:p>
        </w:tc>
      </w:tr>
      <w:tr w:rsidR="007C6215" w:rsidRPr="00012590" w14:paraId="51B9A022" w14:textId="77777777" w:rsidTr="007C6215">
        <w:trPr>
          <w:trHeight w:val="300"/>
        </w:trPr>
        <w:tc>
          <w:tcPr>
            <w:tcW w:w="645" w:type="pct"/>
            <w:tcBorders>
              <w:bottom w:val="single" w:sz="4" w:space="0" w:color="auto"/>
            </w:tcBorders>
            <w:shd w:val="clear" w:color="auto" w:fill="auto"/>
            <w:noWrap/>
            <w:vAlign w:val="bottom"/>
            <w:hideMark/>
          </w:tcPr>
          <w:p w14:paraId="7FE33E5E" w14:textId="470F778A"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52</w:t>
            </w:r>
          </w:p>
        </w:tc>
        <w:tc>
          <w:tcPr>
            <w:tcW w:w="411" w:type="pct"/>
            <w:tcBorders>
              <w:bottom w:val="single" w:sz="4" w:space="0" w:color="auto"/>
            </w:tcBorders>
            <w:shd w:val="clear" w:color="auto" w:fill="auto"/>
            <w:noWrap/>
            <w:vAlign w:val="bottom"/>
            <w:hideMark/>
          </w:tcPr>
          <w:p w14:paraId="4BDCA125"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80.00</w:t>
            </w:r>
          </w:p>
        </w:tc>
        <w:tc>
          <w:tcPr>
            <w:tcW w:w="486" w:type="pct"/>
            <w:tcBorders>
              <w:bottom w:val="single" w:sz="4" w:space="0" w:color="auto"/>
            </w:tcBorders>
            <w:shd w:val="clear" w:color="auto" w:fill="auto"/>
            <w:noWrap/>
            <w:vAlign w:val="bottom"/>
            <w:hideMark/>
          </w:tcPr>
          <w:p w14:paraId="6A1EF22A"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7.17</w:t>
            </w:r>
          </w:p>
        </w:tc>
        <w:tc>
          <w:tcPr>
            <w:tcW w:w="505" w:type="pct"/>
            <w:tcBorders>
              <w:bottom w:val="single" w:sz="4" w:space="0" w:color="auto"/>
            </w:tcBorders>
            <w:shd w:val="clear" w:color="auto" w:fill="auto"/>
            <w:noWrap/>
            <w:vAlign w:val="bottom"/>
            <w:hideMark/>
          </w:tcPr>
          <w:p w14:paraId="403D1A69"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2.06</w:t>
            </w:r>
          </w:p>
        </w:tc>
        <w:tc>
          <w:tcPr>
            <w:tcW w:w="486" w:type="pct"/>
            <w:tcBorders>
              <w:bottom w:val="single" w:sz="4" w:space="0" w:color="auto"/>
            </w:tcBorders>
            <w:shd w:val="clear" w:color="auto" w:fill="auto"/>
            <w:noWrap/>
            <w:vAlign w:val="bottom"/>
            <w:hideMark/>
          </w:tcPr>
          <w:p w14:paraId="032B103B"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10.77</w:t>
            </w:r>
          </w:p>
        </w:tc>
        <w:tc>
          <w:tcPr>
            <w:tcW w:w="552" w:type="pct"/>
            <w:tcBorders>
              <w:bottom w:val="single" w:sz="4" w:space="0" w:color="auto"/>
            </w:tcBorders>
            <w:shd w:val="clear" w:color="auto" w:fill="auto"/>
            <w:noWrap/>
            <w:vAlign w:val="bottom"/>
            <w:hideMark/>
          </w:tcPr>
          <w:p w14:paraId="53BFD0D4" w14:textId="74832B16"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52</w:t>
            </w:r>
          </w:p>
        </w:tc>
        <w:tc>
          <w:tcPr>
            <w:tcW w:w="486" w:type="pct"/>
            <w:tcBorders>
              <w:bottom w:val="single" w:sz="4" w:space="0" w:color="auto"/>
            </w:tcBorders>
            <w:shd w:val="clear" w:color="auto" w:fill="auto"/>
            <w:noWrap/>
            <w:vAlign w:val="bottom"/>
            <w:hideMark/>
          </w:tcPr>
          <w:p w14:paraId="00BB3A53"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19.83</w:t>
            </w:r>
          </w:p>
        </w:tc>
        <w:tc>
          <w:tcPr>
            <w:tcW w:w="436" w:type="pct"/>
            <w:tcBorders>
              <w:bottom w:val="single" w:sz="4" w:space="0" w:color="auto"/>
            </w:tcBorders>
            <w:shd w:val="clear" w:color="auto" w:fill="auto"/>
            <w:noWrap/>
            <w:vAlign w:val="bottom"/>
            <w:hideMark/>
          </w:tcPr>
          <w:p w14:paraId="29B92572"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8.86</w:t>
            </w:r>
          </w:p>
        </w:tc>
        <w:tc>
          <w:tcPr>
            <w:tcW w:w="505" w:type="pct"/>
            <w:tcBorders>
              <w:bottom w:val="single" w:sz="4" w:space="0" w:color="auto"/>
            </w:tcBorders>
            <w:shd w:val="clear" w:color="auto" w:fill="auto"/>
            <w:noWrap/>
            <w:vAlign w:val="bottom"/>
            <w:hideMark/>
          </w:tcPr>
          <w:p w14:paraId="3EDE4F19"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64.76</w:t>
            </w:r>
          </w:p>
        </w:tc>
        <w:tc>
          <w:tcPr>
            <w:tcW w:w="486" w:type="pct"/>
            <w:tcBorders>
              <w:bottom w:val="single" w:sz="4" w:space="0" w:color="auto"/>
            </w:tcBorders>
            <w:shd w:val="clear" w:color="auto" w:fill="auto"/>
            <w:noWrap/>
            <w:vAlign w:val="bottom"/>
            <w:hideMark/>
          </w:tcPr>
          <w:p w14:paraId="718D3866"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6.55</w:t>
            </w:r>
          </w:p>
        </w:tc>
      </w:tr>
      <w:tr w:rsidR="009E6088" w:rsidRPr="00012590" w14:paraId="145F27B6" w14:textId="77777777" w:rsidTr="007C6215">
        <w:trPr>
          <w:trHeight w:val="300"/>
        </w:trPr>
        <w:tc>
          <w:tcPr>
            <w:tcW w:w="2534" w:type="pct"/>
            <w:gridSpan w:val="5"/>
            <w:tcBorders>
              <w:top w:val="single" w:sz="4" w:space="0" w:color="auto"/>
              <w:bottom w:val="single" w:sz="4" w:space="0" w:color="auto"/>
            </w:tcBorders>
            <w:shd w:val="clear" w:color="auto" w:fill="auto"/>
            <w:noWrap/>
            <w:vAlign w:val="bottom"/>
            <w:hideMark/>
          </w:tcPr>
          <w:p w14:paraId="7780CB82" w14:textId="6718D0E5" w:rsidR="009E6088" w:rsidRPr="00012590" w:rsidRDefault="009E6088"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Variance Decomposition of LPK:</w:t>
            </w:r>
          </w:p>
        </w:tc>
        <w:tc>
          <w:tcPr>
            <w:tcW w:w="2466" w:type="pct"/>
            <w:gridSpan w:val="5"/>
            <w:tcBorders>
              <w:top w:val="single" w:sz="4" w:space="0" w:color="auto"/>
              <w:bottom w:val="single" w:sz="4" w:space="0" w:color="auto"/>
            </w:tcBorders>
            <w:shd w:val="clear" w:color="auto" w:fill="auto"/>
            <w:noWrap/>
            <w:vAlign w:val="bottom"/>
            <w:hideMark/>
          </w:tcPr>
          <w:p w14:paraId="2402A420" w14:textId="3E12BC3B" w:rsidR="009E6088" w:rsidRPr="00012590" w:rsidRDefault="009E6088"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Variance Decomposition of LCN:</w:t>
            </w:r>
          </w:p>
        </w:tc>
      </w:tr>
      <w:tr w:rsidR="00012590" w:rsidRPr="00012590" w14:paraId="446D7043" w14:textId="77777777" w:rsidTr="007C6215">
        <w:trPr>
          <w:trHeight w:val="603"/>
        </w:trPr>
        <w:tc>
          <w:tcPr>
            <w:tcW w:w="645" w:type="pct"/>
            <w:vMerge w:val="restart"/>
            <w:tcBorders>
              <w:top w:val="nil"/>
              <w:bottom w:val="single" w:sz="4" w:space="0" w:color="auto"/>
            </w:tcBorders>
            <w:shd w:val="clear" w:color="auto" w:fill="auto"/>
            <w:noWrap/>
            <w:hideMark/>
          </w:tcPr>
          <w:p w14:paraId="21831A8E" w14:textId="6FCBF182" w:rsidR="009E6088" w:rsidRPr="00012590" w:rsidRDefault="009E6088" w:rsidP="00012590">
            <w:pPr>
              <w:spacing w:after="0" w:line="240" w:lineRule="auto"/>
              <w:rPr>
                <w:rFonts w:eastAsia="Times New Roman" w:cs="Times New Roman"/>
                <w:color w:val="000000"/>
                <w:sz w:val="18"/>
                <w:szCs w:val="18"/>
              </w:rPr>
            </w:pPr>
          </w:p>
        </w:tc>
        <w:tc>
          <w:tcPr>
            <w:tcW w:w="1890" w:type="pct"/>
            <w:gridSpan w:val="4"/>
            <w:vMerge w:val="restart"/>
            <w:tcBorders>
              <w:top w:val="nil"/>
              <w:bottom w:val="single" w:sz="4" w:space="0" w:color="auto"/>
            </w:tcBorders>
            <w:shd w:val="clear" w:color="auto" w:fill="auto"/>
            <w:hideMark/>
          </w:tcPr>
          <w:p w14:paraId="3D9E7E39" w14:textId="77777777" w:rsidR="009E6088" w:rsidRPr="00012590" w:rsidRDefault="009E6088" w:rsidP="00012590">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 of forecasted variance which is described by changes in</w:t>
            </w:r>
          </w:p>
        </w:tc>
        <w:tc>
          <w:tcPr>
            <w:tcW w:w="552" w:type="pct"/>
            <w:vMerge w:val="restart"/>
            <w:tcBorders>
              <w:top w:val="nil"/>
              <w:bottom w:val="single" w:sz="4" w:space="0" w:color="auto"/>
            </w:tcBorders>
            <w:shd w:val="clear" w:color="auto" w:fill="auto"/>
            <w:noWrap/>
            <w:hideMark/>
          </w:tcPr>
          <w:p w14:paraId="01A9B767" w14:textId="6B062613" w:rsidR="009E6088" w:rsidRPr="00012590" w:rsidRDefault="009E6088" w:rsidP="00012590">
            <w:pPr>
              <w:spacing w:after="0" w:line="240" w:lineRule="auto"/>
              <w:rPr>
                <w:rFonts w:eastAsia="Times New Roman" w:cs="Times New Roman"/>
                <w:color w:val="000000"/>
                <w:sz w:val="18"/>
                <w:szCs w:val="18"/>
              </w:rPr>
            </w:pPr>
          </w:p>
        </w:tc>
        <w:tc>
          <w:tcPr>
            <w:tcW w:w="1914" w:type="pct"/>
            <w:gridSpan w:val="4"/>
            <w:vMerge w:val="restart"/>
            <w:tcBorders>
              <w:top w:val="nil"/>
              <w:bottom w:val="single" w:sz="4" w:space="0" w:color="auto"/>
            </w:tcBorders>
            <w:shd w:val="clear" w:color="auto" w:fill="auto"/>
            <w:hideMark/>
          </w:tcPr>
          <w:p w14:paraId="66ED9B58" w14:textId="77777777" w:rsidR="009E6088" w:rsidRPr="00012590" w:rsidRDefault="009E6088" w:rsidP="00012590">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 of forecasted variance which is described by changes in</w:t>
            </w:r>
          </w:p>
        </w:tc>
      </w:tr>
      <w:tr w:rsidR="00012590" w:rsidRPr="00012590" w14:paraId="68408537" w14:textId="77777777" w:rsidTr="007C6215">
        <w:trPr>
          <w:trHeight w:val="458"/>
        </w:trPr>
        <w:tc>
          <w:tcPr>
            <w:tcW w:w="645" w:type="pct"/>
            <w:vMerge/>
            <w:tcBorders>
              <w:top w:val="nil"/>
              <w:bottom w:val="single" w:sz="4" w:space="0" w:color="auto"/>
            </w:tcBorders>
            <w:vAlign w:val="center"/>
            <w:hideMark/>
          </w:tcPr>
          <w:p w14:paraId="357891DB" w14:textId="77777777" w:rsidR="009E6088" w:rsidRPr="00012590" w:rsidRDefault="009E6088" w:rsidP="009E6088">
            <w:pPr>
              <w:spacing w:after="0" w:line="240" w:lineRule="auto"/>
              <w:jc w:val="both"/>
              <w:rPr>
                <w:rFonts w:eastAsia="Times New Roman" w:cs="Times New Roman"/>
                <w:color w:val="000000"/>
                <w:sz w:val="18"/>
                <w:szCs w:val="18"/>
              </w:rPr>
            </w:pPr>
          </w:p>
        </w:tc>
        <w:tc>
          <w:tcPr>
            <w:tcW w:w="1890" w:type="pct"/>
            <w:gridSpan w:val="4"/>
            <w:vMerge/>
            <w:tcBorders>
              <w:top w:val="nil"/>
              <w:bottom w:val="single" w:sz="4" w:space="0" w:color="auto"/>
            </w:tcBorders>
            <w:vAlign w:val="center"/>
            <w:hideMark/>
          </w:tcPr>
          <w:p w14:paraId="6D805E64" w14:textId="77777777" w:rsidR="009E6088" w:rsidRPr="00012590" w:rsidRDefault="009E6088" w:rsidP="009E6088">
            <w:pPr>
              <w:spacing w:after="0" w:line="240" w:lineRule="auto"/>
              <w:jc w:val="both"/>
              <w:rPr>
                <w:rFonts w:eastAsia="Times New Roman" w:cs="Times New Roman"/>
                <w:color w:val="000000"/>
                <w:sz w:val="18"/>
                <w:szCs w:val="18"/>
              </w:rPr>
            </w:pPr>
          </w:p>
        </w:tc>
        <w:tc>
          <w:tcPr>
            <w:tcW w:w="552" w:type="pct"/>
            <w:vMerge/>
            <w:tcBorders>
              <w:top w:val="nil"/>
              <w:bottom w:val="single" w:sz="4" w:space="0" w:color="auto"/>
            </w:tcBorders>
            <w:vAlign w:val="center"/>
            <w:hideMark/>
          </w:tcPr>
          <w:p w14:paraId="78F85A5C" w14:textId="77777777" w:rsidR="009E6088" w:rsidRPr="00012590" w:rsidRDefault="009E6088" w:rsidP="009E6088">
            <w:pPr>
              <w:spacing w:after="0" w:line="240" w:lineRule="auto"/>
              <w:jc w:val="both"/>
              <w:rPr>
                <w:rFonts w:eastAsia="Times New Roman" w:cs="Times New Roman"/>
                <w:color w:val="000000"/>
                <w:sz w:val="18"/>
                <w:szCs w:val="18"/>
              </w:rPr>
            </w:pPr>
          </w:p>
        </w:tc>
        <w:tc>
          <w:tcPr>
            <w:tcW w:w="1914" w:type="pct"/>
            <w:gridSpan w:val="4"/>
            <w:vMerge/>
            <w:tcBorders>
              <w:top w:val="nil"/>
              <w:bottom w:val="single" w:sz="4" w:space="0" w:color="auto"/>
            </w:tcBorders>
            <w:vAlign w:val="center"/>
            <w:hideMark/>
          </w:tcPr>
          <w:p w14:paraId="6AAF75A1" w14:textId="77777777" w:rsidR="009E6088" w:rsidRPr="00012590" w:rsidRDefault="009E6088" w:rsidP="009E6088">
            <w:pPr>
              <w:spacing w:after="0" w:line="240" w:lineRule="auto"/>
              <w:jc w:val="both"/>
              <w:rPr>
                <w:rFonts w:eastAsia="Times New Roman" w:cs="Times New Roman"/>
                <w:color w:val="000000"/>
                <w:sz w:val="18"/>
                <w:szCs w:val="18"/>
              </w:rPr>
            </w:pPr>
          </w:p>
        </w:tc>
      </w:tr>
      <w:tr w:rsidR="007C6215" w:rsidRPr="00012590" w14:paraId="7D116EC6" w14:textId="77777777" w:rsidTr="007C6215">
        <w:trPr>
          <w:trHeight w:val="300"/>
        </w:trPr>
        <w:tc>
          <w:tcPr>
            <w:tcW w:w="645" w:type="pct"/>
            <w:tcBorders>
              <w:top w:val="single" w:sz="4" w:space="0" w:color="auto"/>
              <w:bottom w:val="single" w:sz="4" w:space="0" w:color="auto"/>
            </w:tcBorders>
            <w:shd w:val="clear" w:color="auto" w:fill="auto"/>
            <w:noWrap/>
            <w:hideMark/>
          </w:tcPr>
          <w:p w14:paraId="4F7CFF65" w14:textId="1E0080DB"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Period</w:t>
            </w:r>
          </w:p>
        </w:tc>
        <w:tc>
          <w:tcPr>
            <w:tcW w:w="411" w:type="pct"/>
            <w:tcBorders>
              <w:top w:val="single" w:sz="4" w:space="0" w:color="auto"/>
              <w:bottom w:val="single" w:sz="4" w:space="0" w:color="auto"/>
            </w:tcBorders>
            <w:shd w:val="clear" w:color="auto" w:fill="auto"/>
            <w:noWrap/>
            <w:hideMark/>
          </w:tcPr>
          <w:p w14:paraId="095E9F02"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LJN</w:t>
            </w:r>
          </w:p>
        </w:tc>
        <w:tc>
          <w:tcPr>
            <w:tcW w:w="486" w:type="pct"/>
            <w:tcBorders>
              <w:top w:val="single" w:sz="4" w:space="0" w:color="auto"/>
              <w:bottom w:val="single" w:sz="4" w:space="0" w:color="auto"/>
            </w:tcBorders>
            <w:shd w:val="clear" w:color="auto" w:fill="auto"/>
            <w:noWrap/>
            <w:hideMark/>
          </w:tcPr>
          <w:p w14:paraId="0E06D6FD"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LPK</w:t>
            </w:r>
          </w:p>
        </w:tc>
        <w:tc>
          <w:tcPr>
            <w:tcW w:w="505" w:type="pct"/>
            <w:tcBorders>
              <w:top w:val="single" w:sz="4" w:space="0" w:color="auto"/>
              <w:bottom w:val="single" w:sz="4" w:space="0" w:color="auto"/>
            </w:tcBorders>
            <w:shd w:val="clear" w:color="auto" w:fill="auto"/>
            <w:noWrap/>
            <w:hideMark/>
          </w:tcPr>
          <w:p w14:paraId="3772516C"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LIND</w:t>
            </w:r>
          </w:p>
        </w:tc>
        <w:tc>
          <w:tcPr>
            <w:tcW w:w="486" w:type="pct"/>
            <w:tcBorders>
              <w:top w:val="single" w:sz="4" w:space="0" w:color="auto"/>
              <w:bottom w:val="single" w:sz="4" w:space="0" w:color="auto"/>
            </w:tcBorders>
            <w:shd w:val="clear" w:color="auto" w:fill="auto"/>
            <w:noWrap/>
            <w:hideMark/>
          </w:tcPr>
          <w:p w14:paraId="37AA67D6"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LCN</w:t>
            </w:r>
          </w:p>
        </w:tc>
        <w:tc>
          <w:tcPr>
            <w:tcW w:w="552" w:type="pct"/>
            <w:tcBorders>
              <w:top w:val="single" w:sz="4" w:space="0" w:color="auto"/>
              <w:bottom w:val="single" w:sz="4" w:space="0" w:color="auto"/>
            </w:tcBorders>
            <w:shd w:val="clear" w:color="auto" w:fill="auto"/>
            <w:noWrap/>
            <w:hideMark/>
          </w:tcPr>
          <w:p w14:paraId="5BC5DB72" w14:textId="7542BD65"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Period</w:t>
            </w:r>
          </w:p>
        </w:tc>
        <w:tc>
          <w:tcPr>
            <w:tcW w:w="486" w:type="pct"/>
            <w:tcBorders>
              <w:top w:val="single" w:sz="4" w:space="0" w:color="auto"/>
              <w:bottom w:val="single" w:sz="4" w:space="0" w:color="auto"/>
            </w:tcBorders>
            <w:shd w:val="clear" w:color="auto" w:fill="auto"/>
            <w:noWrap/>
            <w:hideMark/>
          </w:tcPr>
          <w:p w14:paraId="5080811A"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LJN</w:t>
            </w:r>
          </w:p>
        </w:tc>
        <w:tc>
          <w:tcPr>
            <w:tcW w:w="436" w:type="pct"/>
            <w:tcBorders>
              <w:top w:val="single" w:sz="4" w:space="0" w:color="auto"/>
              <w:bottom w:val="single" w:sz="4" w:space="0" w:color="auto"/>
            </w:tcBorders>
            <w:shd w:val="clear" w:color="auto" w:fill="auto"/>
            <w:noWrap/>
            <w:hideMark/>
          </w:tcPr>
          <w:p w14:paraId="6CE5A75F"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LPK</w:t>
            </w:r>
          </w:p>
        </w:tc>
        <w:tc>
          <w:tcPr>
            <w:tcW w:w="505" w:type="pct"/>
            <w:tcBorders>
              <w:top w:val="single" w:sz="4" w:space="0" w:color="auto"/>
              <w:bottom w:val="single" w:sz="4" w:space="0" w:color="auto"/>
            </w:tcBorders>
            <w:shd w:val="clear" w:color="auto" w:fill="auto"/>
            <w:noWrap/>
            <w:hideMark/>
          </w:tcPr>
          <w:p w14:paraId="4152DB0D"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LIND</w:t>
            </w:r>
          </w:p>
        </w:tc>
        <w:tc>
          <w:tcPr>
            <w:tcW w:w="486" w:type="pct"/>
            <w:tcBorders>
              <w:top w:val="single" w:sz="4" w:space="0" w:color="auto"/>
              <w:bottom w:val="single" w:sz="4" w:space="0" w:color="auto"/>
            </w:tcBorders>
            <w:shd w:val="clear" w:color="auto" w:fill="auto"/>
            <w:noWrap/>
            <w:hideMark/>
          </w:tcPr>
          <w:p w14:paraId="22AA5F29" w14:textId="77777777" w:rsidR="00012590" w:rsidRPr="00012590" w:rsidRDefault="00012590" w:rsidP="007C6215">
            <w:pPr>
              <w:spacing w:after="0" w:line="240" w:lineRule="auto"/>
              <w:rPr>
                <w:rFonts w:eastAsia="Times New Roman" w:cs="Times New Roman"/>
                <w:color w:val="000000"/>
                <w:sz w:val="18"/>
                <w:szCs w:val="18"/>
              </w:rPr>
            </w:pPr>
            <w:r w:rsidRPr="00012590">
              <w:rPr>
                <w:rFonts w:eastAsia="Times New Roman" w:cs="Times New Roman"/>
                <w:color w:val="000000"/>
                <w:sz w:val="18"/>
                <w:szCs w:val="18"/>
              </w:rPr>
              <w:t>LCN</w:t>
            </w:r>
          </w:p>
        </w:tc>
      </w:tr>
      <w:tr w:rsidR="007C6215" w:rsidRPr="00012590" w14:paraId="61F9EBED" w14:textId="77777777" w:rsidTr="007C6215">
        <w:trPr>
          <w:trHeight w:val="300"/>
        </w:trPr>
        <w:tc>
          <w:tcPr>
            <w:tcW w:w="645" w:type="pct"/>
            <w:tcBorders>
              <w:top w:val="single" w:sz="4" w:space="0" w:color="auto"/>
            </w:tcBorders>
            <w:shd w:val="clear" w:color="auto" w:fill="auto"/>
            <w:noWrap/>
            <w:vAlign w:val="bottom"/>
            <w:hideMark/>
          </w:tcPr>
          <w:p w14:paraId="71088F38" w14:textId="5F5D26AA"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Week</w:t>
            </w:r>
          </w:p>
        </w:tc>
        <w:tc>
          <w:tcPr>
            <w:tcW w:w="411" w:type="pct"/>
            <w:tcBorders>
              <w:top w:val="single" w:sz="4" w:space="0" w:color="auto"/>
            </w:tcBorders>
            <w:shd w:val="clear" w:color="auto" w:fill="auto"/>
            <w:noWrap/>
            <w:vAlign w:val="bottom"/>
            <w:hideMark/>
          </w:tcPr>
          <w:p w14:paraId="706B40D7"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486" w:type="pct"/>
            <w:tcBorders>
              <w:top w:val="single" w:sz="4" w:space="0" w:color="auto"/>
            </w:tcBorders>
            <w:shd w:val="clear" w:color="auto" w:fill="auto"/>
            <w:noWrap/>
            <w:vAlign w:val="bottom"/>
            <w:hideMark/>
          </w:tcPr>
          <w:p w14:paraId="5DA36EB7"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505" w:type="pct"/>
            <w:tcBorders>
              <w:top w:val="single" w:sz="4" w:space="0" w:color="auto"/>
            </w:tcBorders>
            <w:shd w:val="clear" w:color="auto" w:fill="auto"/>
            <w:noWrap/>
            <w:vAlign w:val="bottom"/>
            <w:hideMark/>
          </w:tcPr>
          <w:p w14:paraId="61DB50FF"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486" w:type="pct"/>
            <w:tcBorders>
              <w:top w:val="single" w:sz="4" w:space="0" w:color="auto"/>
            </w:tcBorders>
            <w:shd w:val="clear" w:color="auto" w:fill="auto"/>
            <w:noWrap/>
            <w:vAlign w:val="bottom"/>
            <w:hideMark/>
          </w:tcPr>
          <w:p w14:paraId="35BF43C5"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552" w:type="pct"/>
            <w:tcBorders>
              <w:top w:val="single" w:sz="4" w:space="0" w:color="auto"/>
            </w:tcBorders>
            <w:shd w:val="clear" w:color="auto" w:fill="auto"/>
            <w:noWrap/>
            <w:vAlign w:val="bottom"/>
            <w:hideMark/>
          </w:tcPr>
          <w:p w14:paraId="423DBD7C" w14:textId="554DABA8" w:rsidR="00012590" w:rsidRPr="00012590" w:rsidRDefault="00012590" w:rsidP="007C6215">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Week</w:t>
            </w:r>
          </w:p>
        </w:tc>
        <w:tc>
          <w:tcPr>
            <w:tcW w:w="486" w:type="pct"/>
            <w:tcBorders>
              <w:top w:val="single" w:sz="4" w:space="0" w:color="auto"/>
            </w:tcBorders>
            <w:shd w:val="clear" w:color="auto" w:fill="auto"/>
            <w:noWrap/>
            <w:vAlign w:val="bottom"/>
            <w:hideMark/>
          </w:tcPr>
          <w:p w14:paraId="559B2718"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436" w:type="pct"/>
            <w:tcBorders>
              <w:top w:val="single" w:sz="4" w:space="0" w:color="auto"/>
            </w:tcBorders>
            <w:shd w:val="clear" w:color="auto" w:fill="auto"/>
            <w:noWrap/>
            <w:vAlign w:val="bottom"/>
            <w:hideMark/>
          </w:tcPr>
          <w:p w14:paraId="3C37B6E2"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505" w:type="pct"/>
            <w:tcBorders>
              <w:top w:val="single" w:sz="4" w:space="0" w:color="auto"/>
            </w:tcBorders>
            <w:shd w:val="clear" w:color="auto" w:fill="auto"/>
            <w:noWrap/>
            <w:vAlign w:val="bottom"/>
            <w:hideMark/>
          </w:tcPr>
          <w:p w14:paraId="406FDCE9"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c>
          <w:tcPr>
            <w:tcW w:w="486" w:type="pct"/>
            <w:tcBorders>
              <w:top w:val="single" w:sz="4" w:space="0" w:color="auto"/>
            </w:tcBorders>
            <w:shd w:val="clear" w:color="auto" w:fill="auto"/>
            <w:noWrap/>
            <w:vAlign w:val="bottom"/>
            <w:hideMark/>
          </w:tcPr>
          <w:p w14:paraId="1E7AA433"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w:t>
            </w:r>
          </w:p>
        </w:tc>
      </w:tr>
      <w:tr w:rsidR="007C6215" w:rsidRPr="00012590" w14:paraId="3B86DE71" w14:textId="77777777" w:rsidTr="007C6215">
        <w:trPr>
          <w:trHeight w:val="300"/>
        </w:trPr>
        <w:tc>
          <w:tcPr>
            <w:tcW w:w="645" w:type="pct"/>
            <w:shd w:val="clear" w:color="auto" w:fill="auto"/>
            <w:noWrap/>
            <w:vAlign w:val="bottom"/>
            <w:hideMark/>
          </w:tcPr>
          <w:p w14:paraId="71C42CC4" w14:textId="2B3EB1F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w:t>
            </w:r>
          </w:p>
        </w:tc>
        <w:tc>
          <w:tcPr>
            <w:tcW w:w="411" w:type="pct"/>
            <w:shd w:val="clear" w:color="auto" w:fill="auto"/>
            <w:noWrap/>
            <w:vAlign w:val="bottom"/>
            <w:hideMark/>
          </w:tcPr>
          <w:p w14:paraId="0DF64F6C"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3.54</w:t>
            </w:r>
          </w:p>
        </w:tc>
        <w:tc>
          <w:tcPr>
            <w:tcW w:w="486" w:type="pct"/>
            <w:shd w:val="clear" w:color="auto" w:fill="auto"/>
            <w:noWrap/>
            <w:vAlign w:val="bottom"/>
            <w:hideMark/>
          </w:tcPr>
          <w:p w14:paraId="3D518B38"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96.46</w:t>
            </w:r>
          </w:p>
        </w:tc>
        <w:tc>
          <w:tcPr>
            <w:tcW w:w="505" w:type="pct"/>
            <w:shd w:val="clear" w:color="auto" w:fill="auto"/>
            <w:noWrap/>
            <w:vAlign w:val="bottom"/>
            <w:hideMark/>
          </w:tcPr>
          <w:p w14:paraId="7C56CAE4"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0.00</w:t>
            </w:r>
          </w:p>
        </w:tc>
        <w:tc>
          <w:tcPr>
            <w:tcW w:w="486" w:type="pct"/>
            <w:shd w:val="clear" w:color="auto" w:fill="auto"/>
            <w:noWrap/>
            <w:vAlign w:val="bottom"/>
            <w:hideMark/>
          </w:tcPr>
          <w:p w14:paraId="28B28E15"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0.00</w:t>
            </w:r>
          </w:p>
        </w:tc>
        <w:tc>
          <w:tcPr>
            <w:tcW w:w="552" w:type="pct"/>
            <w:shd w:val="clear" w:color="auto" w:fill="auto"/>
            <w:noWrap/>
            <w:vAlign w:val="bottom"/>
            <w:hideMark/>
          </w:tcPr>
          <w:p w14:paraId="59E3097C" w14:textId="2D1F46C4"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w:t>
            </w:r>
          </w:p>
        </w:tc>
        <w:tc>
          <w:tcPr>
            <w:tcW w:w="486" w:type="pct"/>
            <w:shd w:val="clear" w:color="auto" w:fill="auto"/>
            <w:noWrap/>
            <w:vAlign w:val="bottom"/>
            <w:hideMark/>
          </w:tcPr>
          <w:p w14:paraId="75EFC198"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6.96</w:t>
            </w:r>
          </w:p>
        </w:tc>
        <w:tc>
          <w:tcPr>
            <w:tcW w:w="436" w:type="pct"/>
            <w:shd w:val="clear" w:color="auto" w:fill="auto"/>
            <w:noWrap/>
            <w:vAlign w:val="bottom"/>
            <w:hideMark/>
          </w:tcPr>
          <w:p w14:paraId="09E2E579"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0.26</w:t>
            </w:r>
          </w:p>
        </w:tc>
        <w:tc>
          <w:tcPr>
            <w:tcW w:w="505" w:type="pct"/>
            <w:shd w:val="clear" w:color="auto" w:fill="auto"/>
            <w:noWrap/>
            <w:vAlign w:val="bottom"/>
            <w:hideMark/>
          </w:tcPr>
          <w:p w14:paraId="608A132B"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0.19</w:t>
            </w:r>
          </w:p>
        </w:tc>
        <w:tc>
          <w:tcPr>
            <w:tcW w:w="486" w:type="pct"/>
            <w:shd w:val="clear" w:color="auto" w:fill="auto"/>
            <w:noWrap/>
            <w:vAlign w:val="bottom"/>
            <w:hideMark/>
          </w:tcPr>
          <w:p w14:paraId="2C0E4C03"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92.59</w:t>
            </w:r>
          </w:p>
        </w:tc>
      </w:tr>
      <w:tr w:rsidR="007C6215" w:rsidRPr="00012590" w14:paraId="10009D8C" w14:textId="77777777" w:rsidTr="007C6215">
        <w:trPr>
          <w:trHeight w:val="300"/>
        </w:trPr>
        <w:tc>
          <w:tcPr>
            <w:tcW w:w="645" w:type="pct"/>
            <w:shd w:val="clear" w:color="auto" w:fill="auto"/>
            <w:noWrap/>
            <w:vAlign w:val="bottom"/>
            <w:hideMark/>
          </w:tcPr>
          <w:p w14:paraId="4DC93D0C" w14:textId="2E27DDE5"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4</w:t>
            </w:r>
          </w:p>
        </w:tc>
        <w:tc>
          <w:tcPr>
            <w:tcW w:w="411" w:type="pct"/>
            <w:shd w:val="clear" w:color="auto" w:fill="auto"/>
            <w:noWrap/>
            <w:vAlign w:val="bottom"/>
            <w:hideMark/>
          </w:tcPr>
          <w:p w14:paraId="3C37DBDD"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7.55</w:t>
            </w:r>
          </w:p>
        </w:tc>
        <w:tc>
          <w:tcPr>
            <w:tcW w:w="486" w:type="pct"/>
            <w:shd w:val="clear" w:color="auto" w:fill="auto"/>
            <w:noWrap/>
            <w:vAlign w:val="bottom"/>
            <w:hideMark/>
          </w:tcPr>
          <w:p w14:paraId="45FA7358"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91.70</w:t>
            </w:r>
          </w:p>
        </w:tc>
        <w:tc>
          <w:tcPr>
            <w:tcW w:w="505" w:type="pct"/>
            <w:shd w:val="clear" w:color="auto" w:fill="auto"/>
            <w:noWrap/>
            <w:vAlign w:val="bottom"/>
            <w:hideMark/>
          </w:tcPr>
          <w:p w14:paraId="3427CA71"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0.74</w:t>
            </w:r>
          </w:p>
        </w:tc>
        <w:tc>
          <w:tcPr>
            <w:tcW w:w="486" w:type="pct"/>
            <w:shd w:val="clear" w:color="auto" w:fill="auto"/>
            <w:noWrap/>
            <w:vAlign w:val="bottom"/>
            <w:hideMark/>
          </w:tcPr>
          <w:p w14:paraId="758E11DC"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0.01</w:t>
            </w:r>
          </w:p>
        </w:tc>
        <w:tc>
          <w:tcPr>
            <w:tcW w:w="552" w:type="pct"/>
            <w:shd w:val="clear" w:color="auto" w:fill="auto"/>
            <w:noWrap/>
            <w:vAlign w:val="bottom"/>
            <w:hideMark/>
          </w:tcPr>
          <w:p w14:paraId="6FD18E54" w14:textId="5A3BFA08"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4</w:t>
            </w:r>
          </w:p>
        </w:tc>
        <w:tc>
          <w:tcPr>
            <w:tcW w:w="486" w:type="pct"/>
            <w:shd w:val="clear" w:color="auto" w:fill="auto"/>
            <w:noWrap/>
            <w:vAlign w:val="bottom"/>
            <w:hideMark/>
          </w:tcPr>
          <w:p w14:paraId="554E1198"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13.46</w:t>
            </w:r>
          </w:p>
        </w:tc>
        <w:tc>
          <w:tcPr>
            <w:tcW w:w="436" w:type="pct"/>
            <w:shd w:val="clear" w:color="auto" w:fill="auto"/>
            <w:noWrap/>
            <w:vAlign w:val="bottom"/>
            <w:hideMark/>
          </w:tcPr>
          <w:p w14:paraId="2F05CF68"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0.28</w:t>
            </w:r>
          </w:p>
        </w:tc>
        <w:tc>
          <w:tcPr>
            <w:tcW w:w="505" w:type="pct"/>
            <w:shd w:val="clear" w:color="auto" w:fill="auto"/>
            <w:noWrap/>
            <w:vAlign w:val="bottom"/>
            <w:hideMark/>
          </w:tcPr>
          <w:p w14:paraId="0CF2A4CC"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2.48</w:t>
            </w:r>
          </w:p>
        </w:tc>
        <w:tc>
          <w:tcPr>
            <w:tcW w:w="486" w:type="pct"/>
            <w:shd w:val="clear" w:color="auto" w:fill="auto"/>
            <w:noWrap/>
            <w:vAlign w:val="bottom"/>
            <w:hideMark/>
          </w:tcPr>
          <w:p w14:paraId="53A8DBAF"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83.78</w:t>
            </w:r>
          </w:p>
        </w:tc>
      </w:tr>
      <w:tr w:rsidR="007C6215" w:rsidRPr="00012590" w14:paraId="1FCE80C4" w14:textId="77777777" w:rsidTr="007C6215">
        <w:trPr>
          <w:trHeight w:val="300"/>
        </w:trPr>
        <w:tc>
          <w:tcPr>
            <w:tcW w:w="645" w:type="pct"/>
            <w:shd w:val="clear" w:color="auto" w:fill="auto"/>
            <w:noWrap/>
            <w:vAlign w:val="bottom"/>
            <w:hideMark/>
          </w:tcPr>
          <w:p w14:paraId="1D717136" w14:textId="72D3C3D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12</w:t>
            </w:r>
          </w:p>
        </w:tc>
        <w:tc>
          <w:tcPr>
            <w:tcW w:w="411" w:type="pct"/>
            <w:shd w:val="clear" w:color="auto" w:fill="auto"/>
            <w:noWrap/>
            <w:vAlign w:val="bottom"/>
            <w:hideMark/>
          </w:tcPr>
          <w:p w14:paraId="2410DA7F"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12.86</w:t>
            </w:r>
          </w:p>
        </w:tc>
        <w:tc>
          <w:tcPr>
            <w:tcW w:w="486" w:type="pct"/>
            <w:shd w:val="clear" w:color="auto" w:fill="auto"/>
            <w:noWrap/>
            <w:vAlign w:val="bottom"/>
            <w:hideMark/>
          </w:tcPr>
          <w:p w14:paraId="359AF542"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84.44</w:t>
            </w:r>
          </w:p>
        </w:tc>
        <w:tc>
          <w:tcPr>
            <w:tcW w:w="505" w:type="pct"/>
            <w:shd w:val="clear" w:color="auto" w:fill="auto"/>
            <w:noWrap/>
            <w:vAlign w:val="bottom"/>
            <w:hideMark/>
          </w:tcPr>
          <w:p w14:paraId="14BFA485"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2.20</w:t>
            </w:r>
          </w:p>
        </w:tc>
        <w:tc>
          <w:tcPr>
            <w:tcW w:w="486" w:type="pct"/>
            <w:shd w:val="clear" w:color="auto" w:fill="auto"/>
            <w:noWrap/>
            <w:vAlign w:val="bottom"/>
            <w:hideMark/>
          </w:tcPr>
          <w:p w14:paraId="171736FE"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0.50</w:t>
            </w:r>
          </w:p>
        </w:tc>
        <w:tc>
          <w:tcPr>
            <w:tcW w:w="552" w:type="pct"/>
            <w:shd w:val="clear" w:color="auto" w:fill="auto"/>
            <w:noWrap/>
            <w:vAlign w:val="bottom"/>
            <w:hideMark/>
          </w:tcPr>
          <w:p w14:paraId="7ABDE3E2" w14:textId="4876313A"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12</w:t>
            </w:r>
          </w:p>
        </w:tc>
        <w:tc>
          <w:tcPr>
            <w:tcW w:w="486" w:type="pct"/>
            <w:shd w:val="clear" w:color="auto" w:fill="auto"/>
            <w:noWrap/>
            <w:vAlign w:val="bottom"/>
            <w:hideMark/>
          </w:tcPr>
          <w:p w14:paraId="61DC3C33"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21.19</w:t>
            </w:r>
          </w:p>
        </w:tc>
        <w:tc>
          <w:tcPr>
            <w:tcW w:w="436" w:type="pct"/>
            <w:shd w:val="clear" w:color="auto" w:fill="auto"/>
            <w:noWrap/>
            <w:vAlign w:val="bottom"/>
            <w:hideMark/>
          </w:tcPr>
          <w:p w14:paraId="58FE6E55"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0.33</w:t>
            </w:r>
          </w:p>
        </w:tc>
        <w:tc>
          <w:tcPr>
            <w:tcW w:w="505" w:type="pct"/>
            <w:shd w:val="clear" w:color="auto" w:fill="auto"/>
            <w:noWrap/>
            <w:vAlign w:val="bottom"/>
            <w:hideMark/>
          </w:tcPr>
          <w:p w14:paraId="33DB8BBF"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5.36</w:t>
            </w:r>
          </w:p>
        </w:tc>
        <w:tc>
          <w:tcPr>
            <w:tcW w:w="486" w:type="pct"/>
            <w:shd w:val="clear" w:color="auto" w:fill="auto"/>
            <w:noWrap/>
            <w:vAlign w:val="bottom"/>
            <w:hideMark/>
          </w:tcPr>
          <w:p w14:paraId="088CE233"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73.13</w:t>
            </w:r>
          </w:p>
        </w:tc>
      </w:tr>
      <w:tr w:rsidR="007C6215" w:rsidRPr="00012590" w14:paraId="63D4B69C" w14:textId="77777777" w:rsidTr="007C6215">
        <w:trPr>
          <w:trHeight w:val="300"/>
        </w:trPr>
        <w:tc>
          <w:tcPr>
            <w:tcW w:w="645" w:type="pct"/>
            <w:shd w:val="clear" w:color="auto" w:fill="auto"/>
            <w:noWrap/>
            <w:vAlign w:val="bottom"/>
            <w:hideMark/>
          </w:tcPr>
          <w:p w14:paraId="2905491F" w14:textId="2A901836"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21</w:t>
            </w:r>
          </w:p>
        </w:tc>
        <w:tc>
          <w:tcPr>
            <w:tcW w:w="411" w:type="pct"/>
            <w:shd w:val="clear" w:color="auto" w:fill="auto"/>
            <w:noWrap/>
            <w:vAlign w:val="bottom"/>
            <w:hideMark/>
          </w:tcPr>
          <w:p w14:paraId="4AD2F590"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16.35</w:t>
            </w:r>
          </w:p>
        </w:tc>
        <w:tc>
          <w:tcPr>
            <w:tcW w:w="486" w:type="pct"/>
            <w:shd w:val="clear" w:color="auto" w:fill="auto"/>
            <w:noWrap/>
            <w:vAlign w:val="bottom"/>
            <w:hideMark/>
          </w:tcPr>
          <w:p w14:paraId="1A238436"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79.15</w:t>
            </w:r>
          </w:p>
        </w:tc>
        <w:tc>
          <w:tcPr>
            <w:tcW w:w="505" w:type="pct"/>
            <w:shd w:val="clear" w:color="auto" w:fill="auto"/>
            <w:noWrap/>
            <w:vAlign w:val="bottom"/>
            <w:hideMark/>
          </w:tcPr>
          <w:p w14:paraId="5F93B87F"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3.31</w:t>
            </w:r>
          </w:p>
        </w:tc>
        <w:tc>
          <w:tcPr>
            <w:tcW w:w="486" w:type="pct"/>
            <w:shd w:val="clear" w:color="auto" w:fill="auto"/>
            <w:noWrap/>
            <w:vAlign w:val="bottom"/>
            <w:hideMark/>
          </w:tcPr>
          <w:p w14:paraId="4119D8C6"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1.19</w:t>
            </w:r>
          </w:p>
        </w:tc>
        <w:tc>
          <w:tcPr>
            <w:tcW w:w="552" w:type="pct"/>
            <w:shd w:val="clear" w:color="auto" w:fill="auto"/>
            <w:noWrap/>
            <w:vAlign w:val="bottom"/>
            <w:hideMark/>
          </w:tcPr>
          <w:p w14:paraId="018BF0D3" w14:textId="1D29B26E"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21</w:t>
            </w:r>
          </w:p>
        </w:tc>
        <w:tc>
          <w:tcPr>
            <w:tcW w:w="486" w:type="pct"/>
            <w:shd w:val="clear" w:color="auto" w:fill="auto"/>
            <w:noWrap/>
            <w:vAlign w:val="bottom"/>
            <w:hideMark/>
          </w:tcPr>
          <w:p w14:paraId="70A27E74"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25.87</w:t>
            </w:r>
          </w:p>
        </w:tc>
        <w:tc>
          <w:tcPr>
            <w:tcW w:w="436" w:type="pct"/>
            <w:shd w:val="clear" w:color="auto" w:fill="auto"/>
            <w:noWrap/>
            <w:vAlign w:val="bottom"/>
            <w:hideMark/>
          </w:tcPr>
          <w:p w14:paraId="24DA2400"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0.84</w:t>
            </w:r>
          </w:p>
        </w:tc>
        <w:tc>
          <w:tcPr>
            <w:tcW w:w="505" w:type="pct"/>
            <w:shd w:val="clear" w:color="auto" w:fill="auto"/>
            <w:noWrap/>
            <w:vAlign w:val="bottom"/>
            <w:hideMark/>
          </w:tcPr>
          <w:p w14:paraId="5FA3DCC1"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7.24</w:t>
            </w:r>
          </w:p>
        </w:tc>
        <w:tc>
          <w:tcPr>
            <w:tcW w:w="486" w:type="pct"/>
            <w:shd w:val="clear" w:color="auto" w:fill="auto"/>
            <w:noWrap/>
            <w:vAlign w:val="bottom"/>
            <w:hideMark/>
          </w:tcPr>
          <w:p w14:paraId="2C58C044"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66.04</w:t>
            </w:r>
          </w:p>
        </w:tc>
      </w:tr>
      <w:tr w:rsidR="007C6215" w:rsidRPr="00012590" w14:paraId="7B6EF374" w14:textId="77777777" w:rsidTr="007C6215">
        <w:trPr>
          <w:trHeight w:val="300"/>
        </w:trPr>
        <w:tc>
          <w:tcPr>
            <w:tcW w:w="645" w:type="pct"/>
            <w:shd w:val="clear" w:color="auto" w:fill="auto"/>
            <w:noWrap/>
            <w:vAlign w:val="bottom"/>
            <w:hideMark/>
          </w:tcPr>
          <w:p w14:paraId="10FB2C19" w14:textId="420762ED"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52</w:t>
            </w:r>
          </w:p>
        </w:tc>
        <w:tc>
          <w:tcPr>
            <w:tcW w:w="411" w:type="pct"/>
            <w:shd w:val="clear" w:color="auto" w:fill="auto"/>
            <w:noWrap/>
            <w:vAlign w:val="bottom"/>
            <w:hideMark/>
          </w:tcPr>
          <w:p w14:paraId="0ED77275"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20.77</w:t>
            </w:r>
          </w:p>
        </w:tc>
        <w:tc>
          <w:tcPr>
            <w:tcW w:w="486" w:type="pct"/>
            <w:shd w:val="clear" w:color="auto" w:fill="auto"/>
            <w:noWrap/>
            <w:vAlign w:val="bottom"/>
            <w:hideMark/>
          </w:tcPr>
          <w:p w14:paraId="7A4EAEE5"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72.12</w:t>
            </w:r>
          </w:p>
        </w:tc>
        <w:tc>
          <w:tcPr>
            <w:tcW w:w="505" w:type="pct"/>
            <w:shd w:val="clear" w:color="auto" w:fill="auto"/>
            <w:noWrap/>
            <w:vAlign w:val="bottom"/>
            <w:hideMark/>
          </w:tcPr>
          <w:p w14:paraId="37987077"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4.80</w:t>
            </w:r>
          </w:p>
        </w:tc>
        <w:tc>
          <w:tcPr>
            <w:tcW w:w="486" w:type="pct"/>
            <w:shd w:val="clear" w:color="auto" w:fill="auto"/>
            <w:noWrap/>
            <w:vAlign w:val="bottom"/>
            <w:hideMark/>
          </w:tcPr>
          <w:p w14:paraId="6E1F6702"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2.31</w:t>
            </w:r>
          </w:p>
        </w:tc>
        <w:tc>
          <w:tcPr>
            <w:tcW w:w="552" w:type="pct"/>
            <w:shd w:val="clear" w:color="auto" w:fill="auto"/>
            <w:noWrap/>
            <w:vAlign w:val="bottom"/>
            <w:hideMark/>
          </w:tcPr>
          <w:p w14:paraId="107F5C73" w14:textId="74E731E9"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52</w:t>
            </w:r>
          </w:p>
        </w:tc>
        <w:tc>
          <w:tcPr>
            <w:tcW w:w="486" w:type="pct"/>
            <w:shd w:val="clear" w:color="auto" w:fill="auto"/>
            <w:noWrap/>
            <w:vAlign w:val="bottom"/>
            <w:hideMark/>
          </w:tcPr>
          <w:p w14:paraId="010A5783"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31.45</w:t>
            </w:r>
          </w:p>
        </w:tc>
        <w:tc>
          <w:tcPr>
            <w:tcW w:w="436" w:type="pct"/>
            <w:shd w:val="clear" w:color="auto" w:fill="auto"/>
            <w:noWrap/>
            <w:vAlign w:val="bottom"/>
            <w:hideMark/>
          </w:tcPr>
          <w:p w14:paraId="04CBE4C1"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1.79</w:t>
            </w:r>
          </w:p>
        </w:tc>
        <w:tc>
          <w:tcPr>
            <w:tcW w:w="505" w:type="pct"/>
            <w:shd w:val="clear" w:color="auto" w:fill="auto"/>
            <w:noWrap/>
            <w:vAlign w:val="bottom"/>
            <w:hideMark/>
          </w:tcPr>
          <w:p w14:paraId="1D138161"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9.57</w:t>
            </w:r>
          </w:p>
        </w:tc>
        <w:tc>
          <w:tcPr>
            <w:tcW w:w="486" w:type="pct"/>
            <w:shd w:val="clear" w:color="auto" w:fill="auto"/>
            <w:noWrap/>
            <w:vAlign w:val="bottom"/>
            <w:hideMark/>
          </w:tcPr>
          <w:p w14:paraId="10572D3B" w14:textId="77777777" w:rsidR="00012590" w:rsidRPr="00012590" w:rsidRDefault="00012590"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57.19</w:t>
            </w:r>
          </w:p>
        </w:tc>
      </w:tr>
      <w:tr w:rsidR="00DD7712" w:rsidRPr="00012590" w14:paraId="1812582B" w14:textId="77777777" w:rsidTr="007C6215">
        <w:trPr>
          <w:trHeight w:val="300"/>
        </w:trPr>
        <w:tc>
          <w:tcPr>
            <w:tcW w:w="5000" w:type="pct"/>
            <w:gridSpan w:val="10"/>
            <w:shd w:val="clear" w:color="auto" w:fill="auto"/>
            <w:noWrap/>
            <w:vAlign w:val="bottom"/>
            <w:hideMark/>
          </w:tcPr>
          <w:p w14:paraId="6A7EA87B" w14:textId="77777777" w:rsidR="00DD7712" w:rsidRPr="00012590" w:rsidRDefault="00DD7712" w:rsidP="009E6088">
            <w:pPr>
              <w:spacing w:after="0" w:line="240" w:lineRule="auto"/>
              <w:jc w:val="both"/>
              <w:rPr>
                <w:rFonts w:eastAsia="Times New Roman" w:cs="Times New Roman"/>
                <w:color w:val="000000"/>
                <w:sz w:val="18"/>
                <w:szCs w:val="18"/>
              </w:rPr>
            </w:pPr>
            <w:r w:rsidRPr="00012590">
              <w:rPr>
                <w:rFonts w:eastAsia="Times New Roman" w:cs="Times New Roman"/>
                <w:color w:val="000000"/>
                <w:sz w:val="18"/>
                <w:szCs w:val="18"/>
              </w:rPr>
              <w:t xml:space="preserve"> Cholesky Ordering: LJN LPK LIND LCN</w:t>
            </w:r>
          </w:p>
        </w:tc>
      </w:tr>
    </w:tbl>
    <w:p w14:paraId="12CD292A" w14:textId="77777777" w:rsidR="00DD7712" w:rsidRPr="003F6625" w:rsidRDefault="00DD7712" w:rsidP="009E6088">
      <w:pPr>
        <w:spacing w:line="240" w:lineRule="auto"/>
        <w:jc w:val="both"/>
        <w:rPr>
          <w:rFonts w:cs="Times New Roman"/>
          <w:sz w:val="20"/>
          <w:szCs w:val="20"/>
        </w:rPr>
      </w:pPr>
      <w:r w:rsidRPr="003F6625">
        <w:rPr>
          <w:rFonts w:cs="Times New Roman"/>
          <w:i/>
          <w:iCs/>
          <w:sz w:val="20"/>
          <w:szCs w:val="20"/>
        </w:rPr>
        <w:t>Source:</w:t>
      </w:r>
      <w:r w:rsidRPr="003F6625">
        <w:rPr>
          <w:rFonts w:cs="Times New Roman"/>
          <w:sz w:val="20"/>
          <w:szCs w:val="20"/>
        </w:rPr>
        <w:t xml:space="preserve"> Authors' estimation</w:t>
      </w:r>
    </w:p>
    <w:p w14:paraId="63B0E4EE" w14:textId="77777777" w:rsidR="00DD7712" w:rsidRPr="00E011F9" w:rsidRDefault="00DD7712" w:rsidP="00E011F9">
      <w:pPr>
        <w:pStyle w:val="NormalWeb"/>
        <w:shd w:val="clear" w:color="auto" w:fill="FFFFFF"/>
        <w:spacing w:before="0" w:beforeAutospacing="0" w:after="0" w:afterAutospacing="0"/>
        <w:ind w:firstLine="720"/>
        <w:jc w:val="both"/>
        <w:rPr>
          <w:bCs/>
        </w:rPr>
      </w:pPr>
      <w:r w:rsidRPr="00E011F9">
        <w:rPr>
          <w:bCs/>
        </w:rPr>
        <w:t>The Japanese market is the exogenous market in the four weeks period and in the 52 weeks period 7% of its value is explained by innovations in the Pakistani market and 11% of its value is explained by the Chinese market and the Japanese market itself accounts for 80 percent of its own value. In the four weeks period, the Pakistani market is exogenous whereas in the 52 weeks period, 20 percent of the value of the Pakistani market is explained by innovations in the Japanese market whereas the Pakistani market itself accounts for 72% of its own value.</w:t>
      </w:r>
    </w:p>
    <w:p w14:paraId="144B72E7" w14:textId="77777777" w:rsidR="00DD7712" w:rsidRPr="00E011F9" w:rsidRDefault="00DD7712" w:rsidP="00E011F9">
      <w:pPr>
        <w:pStyle w:val="NormalWeb"/>
        <w:shd w:val="clear" w:color="auto" w:fill="FFFFFF"/>
        <w:spacing w:before="0" w:beforeAutospacing="0" w:after="0" w:afterAutospacing="0"/>
        <w:ind w:firstLine="720"/>
        <w:jc w:val="both"/>
        <w:rPr>
          <w:bCs/>
        </w:rPr>
      </w:pPr>
      <w:r w:rsidRPr="00E011F9">
        <w:rPr>
          <w:bCs/>
        </w:rPr>
        <w:t>The Indian market is influenced by the Japanese market where in 29% of its value is explained by the fluctuations in the Japanese market and the Indian market itself accounts for 70% of its value of forecast error variance in the short run. The 52 week period is somewhat also gets affected by the Pakistani market (9 percent), the Chinese market (6 percent), and the Japanese market 20 percent.</w:t>
      </w:r>
    </w:p>
    <w:p w14:paraId="2D83C5BC" w14:textId="285B1402" w:rsidR="00DD7712" w:rsidRDefault="00DD7712" w:rsidP="00AB13D4">
      <w:pPr>
        <w:pStyle w:val="Heading2"/>
      </w:pPr>
      <w:r w:rsidRPr="003133F9">
        <w:t>Impulse Response Functions</w:t>
      </w:r>
    </w:p>
    <w:p w14:paraId="2BAF8E9C" w14:textId="77777777" w:rsidR="002153BC" w:rsidRDefault="002153BC" w:rsidP="002153BC">
      <w:pPr>
        <w:pStyle w:val="NoSpacing"/>
        <w:rPr>
          <w:rFonts w:ascii="Times New Roman" w:eastAsia="Times New Roman" w:hAnsi="Times New Roman" w:cs="Times New Roman"/>
          <w:b/>
          <w:sz w:val="20"/>
          <w:szCs w:val="20"/>
        </w:rPr>
      </w:pPr>
      <w:r w:rsidRPr="002153BC">
        <w:rPr>
          <w:rFonts w:ascii="Times New Roman" w:eastAsia="Times New Roman" w:hAnsi="Times New Roman" w:cs="Times New Roman"/>
          <w:b/>
          <w:sz w:val="20"/>
          <w:szCs w:val="20"/>
        </w:rPr>
        <w:t>Figure 5</w:t>
      </w:r>
    </w:p>
    <w:p w14:paraId="48A18836" w14:textId="08FEB457" w:rsidR="002153BC" w:rsidRPr="002153BC" w:rsidRDefault="002153BC" w:rsidP="002153BC">
      <w:pPr>
        <w:pStyle w:val="NoSpacing"/>
        <w:rPr>
          <w:rFonts w:ascii="Times New Roman" w:eastAsia="Times New Roman" w:hAnsi="Times New Roman" w:cs="Times New Roman"/>
          <w:b/>
          <w:i/>
          <w:iCs/>
          <w:sz w:val="20"/>
          <w:szCs w:val="20"/>
        </w:rPr>
      </w:pPr>
      <w:r w:rsidRPr="002153BC">
        <w:rPr>
          <w:rFonts w:ascii="Times New Roman" w:eastAsia="Times New Roman" w:hAnsi="Times New Roman" w:cs="Times New Roman"/>
          <w:b/>
          <w:i/>
          <w:iCs/>
          <w:sz w:val="20"/>
          <w:szCs w:val="20"/>
        </w:rPr>
        <w:t>Response of regional markets to Cholesky one standard deviation shock to USA market</w:t>
      </w:r>
    </w:p>
    <w:p w14:paraId="33459184" w14:textId="77777777" w:rsidR="00DD7712" w:rsidRPr="000E24C2" w:rsidRDefault="00DD7712" w:rsidP="002153BC">
      <w:pPr>
        <w:spacing w:line="240" w:lineRule="auto"/>
        <w:ind w:left="90"/>
        <w:jc w:val="both"/>
        <w:rPr>
          <w:rFonts w:cs="Times New Roman"/>
          <w:b/>
          <w:szCs w:val="24"/>
        </w:rPr>
      </w:pPr>
      <w:r w:rsidRPr="000E24C2">
        <w:rPr>
          <w:noProof/>
        </w:rPr>
        <w:drawing>
          <wp:inline distT="0" distB="0" distL="0" distR="0" wp14:anchorId="71CFE492" wp14:editId="6D5D31F6">
            <wp:extent cx="4025900" cy="25717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89088F" w14:textId="2B528ABA" w:rsidR="00DD7712" w:rsidRDefault="00DD7712" w:rsidP="00E011F9">
      <w:pPr>
        <w:pStyle w:val="NormalWeb"/>
        <w:shd w:val="clear" w:color="auto" w:fill="FFFFFF"/>
        <w:spacing w:before="0" w:beforeAutospacing="0" w:after="0" w:afterAutospacing="0"/>
        <w:ind w:firstLine="720"/>
        <w:jc w:val="both"/>
        <w:rPr>
          <w:bCs/>
        </w:rPr>
      </w:pPr>
      <w:r w:rsidRPr="00E011F9">
        <w:rPr>
          <w:bCs/>
        </w:rPr>
        <w:t>All the three markets respond to a shock in the US market in the initial weeks of the reception of the shock. The Pakistani market and the Indian market seem to have a positive effect of that shock persistently whereas the Chinese market after initial positive effect seems to have persistent negative effect after eight to nine months. Interestingly all the regional markets seem to have positive effects initially after the reception of shock.</w:t>
      </w:r>
    </w:p>
    <w:p w14:paraId="18A0CBD4" w14:textId="6BB837B7" w:rsidR="00E011F9" w:rsidRDefault="00E011F9" w:rsidP="00E011F9">
      <w:pPr>
        <w:pStyle w:val="NormalWeb"/>
        <w:shd w:val="clear" w:color="auto" w:fill="FFFFFF"/>
        <w:spacing w:before="0" w:beforeAutospacing="0" w:after="0" w:afterAutospacing="0"/>
        <w:ind w:firstLine="720"/>
        <w:jc w:val="both"/>
        <w:rPr>
          <w:bCs/>
        </w:rPr>
      </w:pPr>
    </w:p>
    <w:p w14:paraId="153E4E0F" w14:textId="1245628E" w:rsidR="00E011F9" w:rsidRDefault="00E011F9" w:rsidP="00E011F9">
      <w:pPr>
        <w:pStyle w:val="NormalWeb"/>
        <w:shd w:val="clear" w:color="auto" w:fill="FFFFFF"/>
        <w:spacing w:before="0" w:beforeAutospacing="0" w:after="0" w:afterAutospacing="0"/>
        <w:ind w:firstLine="720"/>
        <w:jc w:val="both"/>
        <w:rPr>
          <w:bCs/>
        </w:rPr>
      </w:pPr>
    </w:p>
    <w:p w14:paraId="0AE2918B" w14:textId="30F63E90" w:rsidR="00E011F9" w:rsidRDefault="00E011F9" w:rsidP="00E011F9">
      <w:pPr>
        <w:pStyle w:val="NormalWeb"/>
        <w:shd w:val="clear" w:color="auto" w:fill="FFFFFF"/>
        <w:spacing w:before="0" w:beforeAutospacing="0" w:after="0" w:afterAutospacing="0"/>
        <w:ind w:firstLine="720"/>
        <w:jc w:val="both"/>
        <w:rPr>
          <w:bCs/>
        </w:rPr>
      </w:pPr>
    </w:p>
    <w:p w14:paraId="71CAF593" w14:textId="123BEB63" w:rsidR="00E011F9" w:rsidRDefault="00E011F9" w:rsidP="00E011F9">
      <w:pPr>
        <w:pStyle w:val="NormalWeb"/>
        <w:shd w:val="clear" w:color="auto" w:fill="FFFFFF"/>
        <w:spacing w:before="0" w:beforeAutospacing="0" w:after="0" w:afterAutospacing="0"/>
        <w:ind w:firstLine="720"/>
        <w:jc w:val="both"/>
        <w:rPr>
          <w:bCs/>
        </w:rPr>
      </w:pPr>
    </w:p>
    <w:p w14:paraId="125A2E93" w14:textId="00D13118" w:rsidR="00E011F9" w:rsidRDefault="00E011F9" w:rsidP="00E011F9">
      <w:pPr>
        <w:pStyle w:val="NoSpacing"/>
        <w:rPr>
          <w:rFonts w:ascii="Times New Roman" w:eastAsia="Times New Roman" w:hAnsi="Times New Roman" w:cs="Times New Roman"/>
          <w:b/>
          <w:sz w:val="20"/>
          <w:szCs w:val="20"/>
        </w:rPr>
      </w:pPr>
      <w:r w:rsidRPr="00E011F9">
        <w:rPr>
          <w:rFonts w:ascii="Times New Roman" w:eastAsia="Times New Roman" w:hAnsi="Times New Roman" w:cs="Times New Roman"/>
          <w:b/>
          <w:sz w:val="20"/>
          <w:szCs w:val="20"/>
        </w:rPr>
        <w:t>Figure 6</w:t>
      </w:r>
    </w:p>
    <w:p w14:paraId="6CB44C15" w14:textId="41FFEDFF" w:rsidR="00E011F9" w:rsidRPr="00E011F9" w:rsidRDefault="00E011F9" w:rsidP="00E011F9">
      <w:pPr>
        <w:pStyle w:val="NoSpacing"/>
        <w:rPr>
          <w:rFonts w:ascii="Times New Roman" w:eastAsia="Times New Roman" w:hAnsi="Times New Roman" w:cs="Times New Roman"/>
          <w:b/>
          <w:i/>
          <w:iCs/>
          <w:sz w:val="20"/>
          <w:szCs w:val="20"/>
        </w:rPr>
      </w:pPr>
      <w:r w:rsidRPr="00E011F9">
        <w:rPr>
          <w:rFonts w:ascii="Times New Roman" w:eastAsia="Times New Roman" w:hAnsi="Times New Roman" w:cs="Times New Roman"/>
          <w:b/>
          <w:i/>
          <w:iCs/>
          <w:sz w:val="20"/>
          <w:szCs w:val="20"/>
        </w:rPr>
        <w:t>Response of regional markets to Cholesky one standard deviation shock to UK market</w:t>
      </w:r>
    </w:p>
    <w:p w14:paraId="1FC1E67F" w14:textId="77777777" w:rsidR="00E011F9" w:rsidRPr="00E011F9" w:rsidRDefault="00E011F9" w:rsidP="00E011F9">
      <w:pPr>
        <w:pStyle w:val="NoSpacing"/>
        <w:rPr>
          <w:rFonts w:ascii="Times New Roman" w:eastAsia="Times New Roman" w:hAnsi="Times New Roman" w:cs="Times New Roman"/>
          <w:b/>
          <w:sz w:val="20"/>
          <w:szCs w:val="20"/>
        </w:rPr>
      </w:pPr>
    </w:p>
    <w:p w14:paraId="731A0813" w14:textId="7C6C0C7D" w:rsidR="00DD7712" w:rsidRDefault="00DD7712" w:rsidP="00393911">
      <w:pPr>
        <w:spacing w:after="0" w:line="240" w:lineRule="auto"/>
        <w:jc w:val="both"/>
        <w:rPr>
          <w:rFonts w:cs="Times New Roman"/>
          <w:szCs w:val="24"/>
        </w:rPr>
      </w:pPr>
      <w:r w:rsidRPr="000E24C2">
        <w:rPr>
          <w:noProof/>
        </w:rPr>
        <w:drawing>
          <wp:inline distT="0" distB="0" distL="0" distR="0" wp14:anchorId="17B5DD46" wp14:editId="7A3974DC">
            <wp:extent cx="3975100" cy="1936750"/>
            <wp:effectExtent l="0" t="0" r="635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280AB9" w14:textId="77777777" w:rsidR="00E011F9" w:rsidRPr="000E24C2" w:rsidRDefault="00E011F9" w:rsidP="00393911">
      <w:pPr>
        <w:spacing w:after="0" w:line="240" w:lineRule="auto"/>
        <w:jc w:val="both"/>
        <w:rPr>
          <w:rFonts w:cs="Times New Roman"/>
          <w:szCs w:val="24"/>
        </w:rPr>
      </w:pPr>
    </w:p>
    <w:p w14:paraId="569AFA6C" w14:textId="229196D0" w:rsidR="00DD7712" w:rsidRDefault="00DD7712" w:rsidP="00E011F9">
      <w:pPr>
        <w:pStyle w:val="NormalWeb"/>
        <w:shd w:val="clear" w:color="auto" w:fill="FFFFFF"/>
        <w:spacing w:before="0" w:beforeAutospacing="0" w:after="0" w:afterAutospacing="0"/>
        <w:ind w:firstLine="720"/>
        <w:jc w:val="both"/>
        <w:rPr>
          <w:bCs/>
        </w:rPr>
      </w:pPr>
      <w:r w:rsidRPr="00E011F9">
        <w:rPr>
          <w:bCs/>
        </w:rPr>
        <w:t>The Chinese market continue to exhibit the same trend here if an unanticipated shock is given to the UK market as is the case where shock was given to the US market. Interestingly, the Pakistani market joins the rally with the Chinese market although the level of readiness to the reception of the shock is somewhat less than the Chinese market.</w:t>
      </w:r>
    </w:p>
    <w:p w14:paraId="465370AB" w14:textId="77777777" w:rsidR="00E011F9" w:rsidRDefault="00E011F9" w:rsidP="00E011F9">
      <w:pPr>
        <w:pStyle w:val="NormalWeb"/>
        <w:shd w:val="clear" w:color="auto" w:fill="FFFFFF"/>
        <w:spacing w:before="0" w:beforeAutospacing="0" w:after="0" w:afterAutospacing="0"/>
        <w:ind w:firstLine="720"/>
        <w:jc w:val="both"/>
        <w:rPr>
          <w:bCs/>
        </w:rPr>
      </w:pPr>
    </w:p>
    <w:p w14:paraId="4C69A55A" w14:textId="77777777" w:rsidR="00393911" w:rsidRDefault="00E011F9" w:rsidP="00393911">
      <w:pPr>
        <w:spacing w:after="0" w:line="240" w:lineRule="auto"/>
        <w:jc w:val="both"/>
        <w:rPr>
          <w:rFonts w:cs="Times New Roman"/>
          <w:b/>
          <w:sz w:val="20"/>
          <w:szCs w:val="20"/>
        </w:rPr>
      </w:pPr>
      <w:r w:rsidRPr="003133F9">
        <w:rPr>
          <w:rFonts w:cs="Times New Roman"/>
          <w:b/>
          <w:sz w:val="20"/>
          <w:szCs w:val="20"/>
        </w:rPr>
        <w:t xml:space="preserve">Figure </w:t>
      </w:r>
      <w:r w:rsidR="00393911">
        <w:rPr>
          <w:rFonts w:cs="Times New Roman"/>
          <w:b/>
          <w:sz w:val="20"/>
          <w:szCs w:val="20"/>
        </w:rPr>
        <w:t>7</w:t>
      </w:r>
    </w:p>
    <w:p w14:paraId="3CEB1BAD" w14:textId="1D04637E" w:rsidR="00E011F9" w:rsidRPr="00393911" w:rsidRDefault="00E011F9" w:rsidP="00393911">
      <w:pPr>
        <w:spacing w:after="0" w:line="240" w:lineRule="auto"/>
        <w:jc w:val="both"/>
        <w:rPr>
          <w:rFonts w:cs="Times New Roman"/>
          <w:b/>
          <w:i/>
          <w:iCs/>
          <w:sz w:val="20"/>
          <w:szCs w:val="20"/>
        </w:rPr>
      </w:pPr>
      <w:r w:rsidRPr="00393911">
        <w:rPr>
          <w:rFonts w:cs="Times New Roman"/>
          <w:b/>
          <w:i/>
          <w:iCs/>
          <w:sz w:val="20"/>
          <w:szCs w:val="20"/>
        </w:rPr>
        <w:t>Response of regional markets to one standard deviation shock to GER market</w:t>
      </w:r>
    </w:p>
    <w:p w14:paraId="1285EF15" w14:textId="41E3B407" w:rsidR="00DD7712" w:rsidRDefault="00DD7712" w:rsidP="00393911">
      <w:pPr>
        <w:spacing w:after="0" w:line="240" w:lineRule="auto"/>
        <w:jc w:val="both"/>
        <w:rPr>
          <w:rFonts w:cs="Times New Roman"/>
          <w:szCs w:val="24"/>
        </w:rPr>
      </w:pPr>
      <w:r w:rsidRPr="000E24C2">
        <w:rPr>
          <w:noProof/>
        </w:rPr>
        <w:drawing>
          <wp:inline distT="0" distB="0" distL="0" distR="0" wp14:anchorId="29A99FB4" wp14:editId="2199CA83">
            <wp:extent cx="3987800" cy="24828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7E3EFE" w14:textId="214376EF" w:rsidR="00393911" w:rsidRDefault="00393911" w:rsidP="00393911">
      <w:pPr>
        <w:spacing w:after="0" w:line="240" w:lineRule="auto"/>
        <w:jc w:val="both"/>
        <w:rPr>
          <w:rFonts w:cs="Times New Roman"/>
          <w:szCs w:val="24"/>
        </w:rPr>
      </w:pPr>
    </w:p>
    <w:p w14:paraId="66276E43" w14:textId="5CC5AE89" w:rsidR="00393911" w:rsidRDefault="00DD7712" w:rsidP="00393911">
      <w:pPr>
        <w:pStyle w:val="NormalWeb"/>
        <w:shd w:val="clear" w:color="auto" w:fill="FFFFFF"/>
        <w:spacing w:before="0" w:beforeAutospacing="0" w:after="0" w:afterAutospacing="0"/>
        <w:ind w:firstLine="720"/>
        <w:jc w:val="both"/>
        <w:rPr>
          <w:bCs/>
        </w:rPr>
      </w:pPr>
      <w:r w:rsidRPr="00393911">
        <w:rPr>
          <w:bCs/>
        </w:rPr>
        <w:t>The regional market of India exhibits a positive effect throughout the period under study. All the three markets responded positively to a shock generated to the Germany market and all the three markets retained the positive effect of the shock throughout the period under study with India initially being the largest responder but gradually the effect of that shock somewhat declined.</w:t>
      </w:r>
    </w:p>
    <w:p w14:paraId="26C59357" w14:textId="77777777" w:rsidR="00393911" w:rsidRDefault="00393911" w:rsidP="00393911">
      <w:pPr>
        <w:pStyle w:val="NormalWeb"/>
        <w:shd w:val="clear" w:color="auto" w:fill="FFFFFF"/>
        <w:spacing w:before="0" w:beforeAutospacing="0" w:after="0" w:afterAutospacing="0"/>
        <w:ind w:firstLine="720"/>
        <w:jc w:val="both"/>
        <w:rPr>
          <w:bCs/>
        </w:rPr>
      </w:pPr>
    </w:p>
    <w:p w14:paraId="3C71AB99" w14:textId="77777777" w:rsidR="00393911" w:rsidRDefault="00393911" w:rsidP="00393911">
      <w:pPr>
        <w:spacing w:after="0" w:line="240" w:lineRule="auto"/>
        <w:jc w:val="both"/>
        <w:rPr>
          <w:rFonts w:cs="Times New Roman"/>
          <w:b/>
          <w:sz w:val="20"/>
          <w:szCs w:val="20"/>
        </w:rPr>
      </w:pPr>
      <w:r w:rsidRPr="003133F9">
        <w:rPr>
          <w:rFonts w:cs="Times New Roman"/>
          <w:b/>
          <w:sz w:val="20"/>
          <w:szCs w:val="20"/>
        </w:rPr>
        <w:t>Figure</w:t>
      </w:r>
      <w:r>
        <w:rPr>
          <w:rFonts w:cs="Times New Roman"/>
          <w:b/>
          <w:sz w:val="20"/>
          <w:szCs w:val="20"/>
        </w:rPr>
        <w:t xml:space="preserve"> </w:t>
      </w:r>
      <w:r w:rsidRPr="003133F9">
        <w:rPr>
          <w:rFonts w:cs="Times New Roman"/>
          <w:b/>
          <w:sz w:val="20"/>
          <w:szCs w:val="20"/>
        </w:rPr>
        <w:t>8</w:t>
      </w:r>
    </w:p>
    <w:p w14:paraId="29C80FD0" w14:textId="5F14CFB8" w:rsidR="00393911" w:rsidRPr="00393911" w:rsidRDefault="00393911" w:rsidP="00393911">
      <w:pPr>
        <w:spacing w:after="0" w:line="240" w:lineRule="auto"/>
        <w:jc w:val="both"/>
        <w:rPr>
          <w:rFonts w:cs="Times New Roman"/>
          <w:b/>
          <w:i/>
          <w:iCs/>
          <w:sz w:val="20"/>
          <w:szCs w:val="20"/>
        </w:rPr>
      </w:pPr>
      <w:r w:rsidRPr="00393911">
        <w:rPr>
          <w:rFonts w:cs="Times New Roman"/>
          <w:b/>
          <w:i/>
          <w:iCs/>
          <w:sz w:val="20"/>
          <w:szCs w:val="20"/>
        </w:rPr>
        <w:t>Response of regional markets to one S.D. shock to Japan market</w:t>
      </w:r>
    </w:p>
    <w:p w14:paraId="0948069A" w14:textId="11BDFA1A" w:rsidR="00DD7712" w:rsidRPr="000E24C2" w:rsidRDefault="00DD7712" w:rsidP="00393911">
      <w:pPr>
        <w:pStyle w:val="NormalWeb"/>
        <w:shd w:val="clear" w:color="auto" w:fill="FFFFFF"/>
        <w:spacing w:before="0" w:beforeAutospacing="0" w:after="0" w:afterAutospacing="0"/>
        <w:jc w:val="both"/>
      </w:pPr>
      <w:r w:rsidRPr="00393911">
        <w:rPr>
          <w:bCs/>
          <w:noProof/>
        </w:rPr>
        <w:drawing>
          <wp:inline distT="0" distB="0" distL="0" distR="0" wp14:anchorId="71621EC5" wp14:editId="02E551D6">
            <wp:extent cx="3987800" cy="256222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616DBB" w14:textId="03C6EC03" w:rsidR="00DD7712" w:rsidRDefault="00DD7712" w:rsidP="00AA22E5">
      <w:pPr>
        <w:pStyle w:val="NormalWeb"/>
        <w:shd w:val="clear" w:color="auto" w:fill="FFFFFF"/>
        <w:spacing w:before="0" w:beforeAutospacing="0" w:after="0" w:afterAutospacing="0"/>
        <w:ind w:firstLine="720"/>
        <w:jc w:val="both"/>
        <w:rPr>
          <w:bCs/>
        </w:rPr>
      </w:pPr>
      <w:r w:rsidRPr="00AA22E5">
        <w:rPr>
          <w:bCs/>
        </w:rPr>
        <w:t>The Indian market showed a declining trend till 24 weeks but the effect remained positive throughout the period. However, the Chinese market and the Pakistani markets showed upward trends with the Chinese market showing a greater degree of reception of the shock.</w:t>
      </w:r>
    </w:p>
    <w:p w14:paraId="0158ED5C"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0CBB819E" w14:textId="77777777" w:rsidR="00DD7712" w:rsidRPr="00AA22E5" w:rsidRDefault="00DD7712" w:rsidP="00AA22E5">
      <w:pPr>
        <w:pStyle w:val="NormalWeb"/>
        <w:shd w:val="clear" w:color="auto" w:fill="FFFFFF"/>
        <w:spacing w:before="0" w:beforeAutospacing="0" w:after="0" w:afterAutospacing="0"/>
        <w:ind w:firstLine="720"/>
        <w:jc w:val="both"/>
        <w:rPr>
          <w:bCs/>
        </w:rPr>
      </w:pPr>
      <w:r w:rsidRPr="00AA22E5">
        <w:rPr>
          <w:bCs/>
        </w:rPr>
        <w:t>To conclude, we can say that all the regional market showed the signs of reception of the shock given to all the established markets of the USA, UK, Germany and Japan. The result is consistent with the presence of cointegrating relationship present in each of the four models that these markets have long run equilibrium relationship.</w:t>
      </w:r>
    </w:p>
    <w:p w14:paraId="5E92C73C" w14:textId="77777777" w:rsidR="00A54CE2" w:rsidRPr="00A54CE2" w:rsidRDefault="00A54CE2" w:rsidP="009E6088">
      <w:pPr>
        <w:pStyle w:val="NormalWeb"/>
        <w:shd w:val="clear" w:color="auto" w:fill="FFFFFF"/>
        <w:spacing w:before="0" w:beforeAutospacing="0" w:after="0" w:afterAutospacing="0"/>
        <w:ind w:firstLine="720"/>
        <w:jc w:val="both"/>
        <w:rPr>
          <w:bCs/>
        </w:rPr>
      </w:pPr>
    </w:p>
    <w:p w14:paraId="007852AE" w14:textId="77777777" w:rsidR="00AA22E5" w:rsidRPr="00AA22E5" w:rsidRDefault="00AA22E5" w:rsidP="00C956BA">
      <w:pPr>
        <w:pStyle w:val="Heading1"/>
        <w:numPr>
          <w:ilvl w:val="0"/>
          <w:numId w:val="3"/>
        </w:numPr>
        <w:ind w:left="709" w:hanging="709"/>
        <w:rPr>
          <w:rFonts w:asciiTheme="majorBidi" w:eastAsiaTheme="minorEastAsia" w:hAnsiTheme="majorBidi" w:cstheme="majorBidi"/>
        </w:rPr>
      </w:pPr>
      <w:r w:rsidRPr="00AA22E5">
        <w:rPr>
          <w:rFonts w:asciiTheme="majorBidi" w:eastAsiaTheme="minorEastAsia" w:hAnsiTheme="majorBidi" w:cstheme="majorBidi"/>
        </w:rPr>
        <w:t>Summary and Policy Implications</w:t>
      </w:r>
    </w:p>
    <w:p w14:paraId="23088992" w14:textId="70C0CF56" w:rsidR="00AA22E5" w:rsidRDefault="00AA22E5" w:rsidP="00AA22E5">
      <w:pPr>
        <w:pStyle w:val="NormalWeb"/>
        <w:shd w:val="clear" w:color="auto" w:fill="FFFFFF"/>
        <w:spacing w:before="0" w:beforeAutospacing="0" w:after="0" w:afterAutospacing="0"/>
        <w:ind w:firstLine="720"/>
        <w:jc w:val="both"/>
        <w:rPr>
          <w:bCs/>
        </w:rPr>
      </w:pPr>
      <w:r w:rsidRPr="00AA22E5">
        <w:rPr>
          <w:bCs/>
        </w:rPr>
        <w:t>The stock markets of the region viz. China, India, and Pakistan were studied and analyzed along with one established stock markets of the USA, UK, Germany and Japan in four separate models for the time period around a global event of global financial crisis that primarily hit the mortgage markets of the USA. The data starting from the period March 2001 to March 2008 and another data set starting from March 2008 to March 2016 was analyzed using Johansen method of cointegration. The summary of the results is that there was no cointegration relationship in any of the models of the four established markets before the period of global financial crisis. Interestingly, in the data set starting from March 2008 to March 2016 which depicts the period of post global financial crisis there is evidence of one cointegrating relationship in each of the four models suggesting that the interdependence among the stock markets of the world increased after the global financial crisis.</w:t>
      </w:r>
    </w:p>
    <w:p w14:paraId="2FDF06C9"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19926DE6" w14:textId="1A142044" w:rsidR="00AA22E5" w:rsidRDefault="00AA22E5" w:rsidP="00AA22E5">
      <w:pPr>
        <w:pStyle w:val="NormalWeb"/>
        <w:shd w:val="clear" w:color="auto" w:fill="FFFFFF"/>
        <w:spacing w:before="0" w:beforeAutospacing="0" w:after="0" w:afterAutospacing="0"/>
        <w:ind w:firstLine="720"/>
        <w:jc w:val="both"/>
        <w:rPr>
          <w:bCs/>
        </w:rPr>
      </w:pPr>
      <w:r w:rsidRPr="00AA22E5">
        <w:rPr>
          <w:bCs/>
        </w:rPr>
        <w:t>The period depicting the post financial crisis was analyzed through imposing long run restrictions on the long-run cointegrating vector, Granger causality test for exploring short run dynamics, forecasting through variance decomposition and impulse response functions.</w:t>
      </w:r>
    </w:p>
    <w:p w14:paraId="1126A2FA"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218ED6F4" w14:textId="7FDD565E" w:rsidR="00AA22E5" w:rsidRDefault="00AA22E5" w:rsidP="00AA22E5">
      <w:pPr>
        <w:pStyle w:val="NormalWeb"/>
        <w:shd w:val="clear" w:color="auto" w:fill="FFFFFF"/>
        <w:spacing w:before="0" w:beforeAutospacing="0" w:after="0" w:afterAutospacing="0"/>
        <w:ind w:firstLine="720"/>
        <w:jc w:val="both"/>
        <w:rPr>
          <w:bCs/>
        </w:rPr>
      </w:pPr>
      <w:r w:rsidRPr="00AA22E5">
        <w:rPr>
          <w:bCs/>
        </w:rPr>
        <w:t>Interestingly, each of the four established markets exerted long run impact on the regional markets in each of the four models. The market of India influenced each of the established market except Germany whereas the Pakistani market exerted a long run impact on each of the four established markets except the UK. The Chinese market was the least influential of the three regional market that impacted only two of the established markets of the UK and Japan. The Japanese market resulted in to be the most open market of the study in the long run.</w:t>
      </w:r>
    </w:p>
    <w:p w14:paraId="69475626"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7FD907EB" w14:textId="1247153C" w:rsidR="00AA22E5" w:rsidRDefault="00AA22E5" w:rsidP="00AA22E5">
      <w:pPr>
        <w:pStyle w:val="NormalWeb"/>
        <w:shd w:val="clear" w:color="auto" w:fill="FFFFFF"/>
        <w:spacing w:before="0" w:beforeAutospacing="0" w:after="0" w:afterAutospacing="0"/>
        <w:ind w:firstLine="720"/>
        <w:jc w:val="both"/>
        <w:rPr>
          <w:bCs/>
        </w:rPr>
      </w:pPr>
      <w:r w:rsidRPr="00AA22E5">
        <w:rPr>
          <w:bCs/>
        </w:rPr>
        <w:t>The residuals from each of the four cointegrating vectors obtained from the four models were embedded in the VECMs. The most influential market was the US whose short run fluctuations impacted each of the regional markets in the short run and the least influential was Japan whose fluctuations in the short run did not affect any of the regional markets. The most endogenous market was the Indian which was affected by three of the established markets of USA, UK and Germany. These results were broadly in line with the variance decomposition results with a few exceptions, the reasons of which had been discussed previously.</w:t>
      </w:r>
    </w:p>
    <w:p w14:paraId="4C064C0E"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4411D08C" w14:textId="356A3AB3" w:rsidR="00AA22E5" w:rsidRDefault="00AA22E5" w:rsidP="00AA22E5">
      <w:pPr>
        <w:pStyle w:val="NormalWeb"/>
        <w:shd w:val="clear" w:color="auto" w:fill="FFFFFF"/>
        <w:spacing w:before="0" w:beforeAutospacing="0" w:after="0" w:afterAutospacing="0"/>
        <w:ind w:firstLine="720"/>
        <w:jc w:val="both"/>
        <w:rPr>
          <w:bCs/>
        </w:rPr>
      </w:pPr>
      <w:r w:rsidRPr="00AA22E5">
        <w:rPr>
          <w:bCs/>
        </w:rPr>
        <w:t>The presence of cointegrating relationship between the variable led to persistent effect due to impulse in one of the established markets which is depicted by the impulse response function of the four markets.</w:t>
      </w:r>
    </w:p>
    <w:p w14:paraId="475AC250"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7A7A6AFD" w14:textId="30EE7EE9" w:rsidR="00AA22E5" w:rsidRDefault="00AA22E5" w:rsidP="00AA22E5">
      <w:pPr>
        <w:pStyle w:val="NormalWeb"/>
        <w:shd w:val="clear" w:color="auto" w:fill="FFFFFF"/>
        <w:spacing w:before="0" w:beforeAutospacing="0" w:after="0" w:afterAutospacing="0"/>
        <w:ind w:firstLine="720"/>
        <w:jc w:val="both"/>
        <w:rPr>
          <w:bCs/>
        </w:rPr>
      </w:pPr>
      <w:r w:rsidRPr="00AA22E5">
        <w:rPr>
          <w:bCs/>
        </w:rPr>
        <w:t>Secondly, there exists long relationship between the regional markets and the established market of the US, the UK, Germany and Japan in the post era of the global financial crisis whereas there is no long run relationship between the regional markets and any of the established market of the US, the UK, Germany and Japan before the event of global financial crisis</w:t>
      </w:r>
      <w:r>
        <w:rPr>
          <w:bCs/>
        </w:rPr>
        <w:t>.</w:t>
      </w:r>
    </w:p>
    <w:p w14:paraId="48878623"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45676DD6" w14:textId="6432311A" w:rsidR="00AA22E5" w:rsidRDefault="00AA22E5" w:rsidP="00AA22E5">
      <w:pPr>
        <w:pStyle w:val="NormalWeb"/>
        <w:shd w:val="clear" w:color="auto" w:fill="FFFFFF"/>
        <w:spacing w:before="0" w:beforeAutospacing="0" w:after="0" w:afterAutospacing="0"/>
        <w:ind w:firstLine="720"/>
        <w:jc w:val="both"/>
        <w:rPr>
          <w:bCs/>
        </w:rPr>
      </w:pPr>
      <w:r w:rsidRPr="00AA22E5">
        <w:rPr>
          <w:bCs/>
        </w:rPr>
        <w:t>Thirdly, the presence of cointegration in each of the four models eliminates the possibility of spurious relationship between the markets. This violates the efficient market hypothesis as one of the market contains information for the other markets.</w:t>
      </w:r>
    </w:p>
    <w:p w14:paraId="74928E4E"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2BED8362" w14:textId="1E6C35A4" w:rsidR="00AA22E5" w:rsidRDefault="00AA22E5" w:rsidP="00AA22E5">
      <w:pPr>
        <w:pStyle w:val="NormalWeb"/>
        <w:shd w:val="clear" w:color="auto" w:fill="FFFFFF"/>
        <w:spacing w:before="0" w:beforeAutospacing="0" w:after="0" w:afterAutospacing="0"/>
        <w:ind w:firstLine="720"/>
        <w:jc w:val="both"/>
        <w:rPr>
          <w:bCs/>
        </w:rPr>
      </w:pPr>
      <w:r w:rsidRPr="00AA22E5">
        <w:rPr>
          <w:bCs/>
        </w:rPr>
        <w:t>Fourthly, the investors who seek to minimize their risk by diversifying their portfolio should be aware that the regional markets of Pakistan, India and China share long run equilibrium relationship with the established markets of the USA, UK, Germany and Japan.</w:t>
      </w:r>
    </w:p>
    <w:p w14:paraId="3852A979"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51D61BDF" w14:textId="77777777" w:rsidR="00AA22E5" w:rsidRPr="00AA22E5" w:rsidRDefault="00AA22E5" w:rsidP="00AA22E5">
      <w:pPr>
        <w:pStyle w:val="NormalWeb"/>
        <w:shd w:val="clear" w:color="auto" w:fill="FFFFFF"/>
        <w:spacing w:before="0" w:beforeAutospacing="0" w:after="0" w:afterAutospacing="0"/>
        <w:ind w:firstLine="720"/>
        <w:jc w:val="both"/>
        <w:rPr>
          <w:bCs/>
        </w:rPr>
      </w:pPr>
      <w:r w:rsidRPr="00AA22E5">
        <w:rPr>
          <w:bCs/>
        </w:rPr>
        <w:t>The inference for the policy makers and the investors are clear.</w:t>
      </w:r>
    </w:p>
    <w:p w14:paraId="1DF8089D" w14:textId="1231D039" w:rsidR="00AA22E5" w:rsidRDefault="00AA22E5" w:rsidP="00AA22E5">
      <w:pPr>
        <w:pStyle w:val="NormalWeb"/>
        <w:shd w:val="clear" w:color="auto" w:fill="FFFFFF"/>
        <w:spacing w:before="0" w:beforeAutospacing="0" w:after="0" w:afterAutospacing="0"/>
        <w:ind w:firstLine="720"/>
        <w:jc w:val="both"/>
        <w:rPr>
          <w:bCs/>
        </w:rPr>
      </w:pPr>
      <w:r w:rsidRPr="00AA22E5">
        <w:rPr>
          <w:bCs/>
        </w:rPr>
        <w:t>Firstly, the investors are advised to include some other markets in their investment portfolio to incorporate the benefit from diversification.</w:t>
      </w:r>
    </w:p>
    <w:p w14:paraId="1C0DD694"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4F6F3744" w14:textId="59EDA443" w:rsidR="00AA22E5" w:rsidRDefault="00AA22E5" w:rsidP="00AA22E5">
      <w:pPr>
        <w:pStyle w:val="NormalWeb"/>
        <w:shd w:val="clear" w:color="auto" w:fill="FFFFFF"/>
        <w:spacing w:before="0" w:beforeAutospacing="0" w:after="0" w:afterAutospacing="0"/>
        <w:ind w:firstLine="720"/>
        <w:jc w:val="both"/>
        <w:rPr>
          <w:bCs/>
        </w:rPr>
      </w:pPr>
      <w:r w:rsidRPr="00AA22E5">
        <w:rPr>
          <w:bCs/>
        </w:rPr>
        <w:t>Secondly, an important implication in each of the four models is that the regional markets are driven by the fluctuations in the established markets with the exception of the Japanese market. The regional markets’ fluctuations do not create fluctuations in other stock markets of the region depicting independence of the regional markets from each other in each of the four models with the exception of the Japanese model in which fluctuations in Indian market leads to the changes in the Chinese market. Moreover, the evidence of significance of the Indian market in explaining the Chinese market is rejected at 5% level of significance but accepted at 10% level of significance also confirms our claim that the regional markets are independent of the fluctuations happening in the regional markets at 5% level of significance.</w:t>
      </w:r>
    </w:p>
    <w:p w14:paraId="0CC37689"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78A8096F" w14:textId="29E38DE7" w:rsidR="00AA22E5" w:rsidRDefault="00AA22E5" w:rsidP="00AA22E5">
      <w:pPr>
        <w:pStyle w:val="NormalWeb"/>
        <w:shd w:val="clear" w:color="auto" w:fill="FFFFFF"/>
        <w:spacing w:before="0" w:beforeAutospacing="0" w:after="0" w:afterAutospacing="0"/>
        <w:ind w:firstLine="720"/>
        <w:jc w:val="both"/>
        <w:rPr>
          <w:bCs/>
        </w:rPr>
      </w:pPr>
      <w:r w:rsidRPr="00AA22E5">
        <w:rPr>
          <w:bCs/>
        </w:rPr>
        <w:t>Thirdly, based on our variance decomposition analysis, the most exogenous market in the future will be the UK followed by the Japanese market where the greatest % of their variances is explained by their own shocks.</w:t>
      </w:r>
    </w:p>
    <w:p w14:paraId="19C7A2C0"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617EF071" w14:textId="0F4E4188" w:rsidR="00AA22E5" w:rsidRDefault="00AA22E5" w:rsidP="00AA22E5">
      <w:pPr>
        <w:pStyle w:val="NormalWeb"/>
        <w:shd w:val="clear" w:color="auto" w:fill="FFFFFF"/>
        <w:spacing w:before="0" w:beforeAutospacing="0" w:after="0" w:afterAutospacing="0"/>
        <w:ind w:firstLine="720"/>
        <w:jc w:val="both"/>
        <w:rPr>
          <w:bCs/>
        </w:rPr>
      </w:pPr>
      <w:r w:rsidRPr="00AA22E5">
        <w:rPr>
          <w:bCs/>
        </w:rPr>
        <w:t>Fourthly, keeping in view the increasing economic integration of Pakistan and China it is interesting to note that the financial markets of the two countries are still not integrated. The increasing economic integration between the two countries through China Pakistan Economic Corridor (CPEC) could be a starting point of financial integration of the stock markets in the future.</w:t>
      </w:r>
    </w:p>
    <w:p w14:paraId="4834BA80"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5DDB0879" w14:textId="14B99B0D" w:rsidR="00AA22E5" w:rsidRDefault="00AA22E5" w:rsidP="00AA22E5">
      <w:pPr>
        <w:pStyle w:val="NormalWeb"/>
        <w:shd w:val="clear" w:color="auto" w:fill="FFFFFF"/>
        <w:spacing w:before="0" w:beforeAutospacing="0" w:after="0" w:afterAutospacing="0"/>
        <w:ind w:firstLine="720"/>
        <w:jc w:val="both"/>
        <w:rPr>
          <w:bCs/>
        </w:rPr>
      </w:pPr>
      <w:r w:rsidRPr="00AA22E5">
        <w:rPr>
          <w:bCs/>
        </w:rPr>
        <w:t>Fifthly, the policy makers of the regional markets are advised to keep in view the fact the markets of Pakistan, India and China are no longer regional markets.</w:t>
      </w:r>
    </w:p>
    <w:p w14:paraId="2F7DFC8C"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36E0F99A" w14:textId="222F10A6" w:rsidR="00AA22E5" w:rsidRDefault="00AA22E5" w:rsidP="00AA22E5">
      <w:pPr>
        <w:pStyle w:val="NormalWeb"/>
        <w:shd w:val="clear" w:color="auto" w:fill="FFFFFF"/>
        <w:spacing w:before="0" w:beforeAutospacing="0" w:after="0" w:afterAutospacing="0"/>
        <w:ind w:firstLine="720"/>
        <w:jc w:val="both"/>
        <w:rPr>
          <w:bCs/>
        </w:rPr>
      </w:pPr>
      <w:r w:rsidRPr="00AA22E5">
        <w:rPr>
          <w:bCs/>
        </w:rPr>
        <w:t>Most importantly this study finds a greater extent of financial integration among markets selected Asian and developed countries markets in the post financial 2008 crisis against pre-crisis linkage.</w:t>
      </w:r>
    </w:p>
    <w:p w14:paraId="029E79F7"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70D74305" w14:textId="41A7113A" w:rsidR="009D6FBC" w:rsidRDefault="00AA22E5" w:rsidP="00AA22E5">
      <w:pPr>
        <w:pStyle w:val="NormalWeb"/>
        <w:shd w:val="clear" w:color="auto" w:fill="FFFFFF"/>
        <w:spacing w:before="0" w:beforeAutospacing="0" w:after="0" w:afterAutospacing="0"/>
        <w:ind w:firstLine="720"/>
        <w:jc w:val="both"/>
        <w:rPr>
          <w:bCs/>
        </w:rPr>
      </w:pPr>
      <w:r w:rsidRPr="00AA22E5">
        <w:rPr>
          <w:bCs/>
        </w:rPr>
        <w:t>The type of the study has several motivations for future research. With cointegration present in the four models it may be of strong interest to investigate the driving factors which tie these markets. Moreover, the inclusion of more established markets in the study will also improve our understanding of the cointegration of the regional markets with the established markets of the world. The economic growth of the Asian region which includes world’s future largest economies of China and India along with Pakistan may attract the interests of researchers in understanding the driving factors behind these relationships.</w:t>
      </w:r>
    </w:p>
    <w:p w14:paraId="414CC566" w14:textId="77777777" w:rsidR="00AA22E5" w:rsidRPr="00AA22E5" w:rsidRDefault="00AA22E5" w:rsidP="00AA22E5">
      <w:pPr>
        <w:pStyle w:val="NormalWeb"/>
        <w:shd w:val="clear" w:color="auto" w:fill="FFFFFF"/>
        <w:spacing w:before="0" w:beforeAutospacing="0" w:after="0" w:afterAutospacing="0"/>
        <w:ind w:firstLine="720"/>
        <w:jc w:val="both"/>
        <w:rPr>
          <w:bCs/>
        </w:rPr>
      </w:pPr>
    </w:p>
    <w:p w14:paraId="69377E55" w14:textId="17C6054D" w:rsidR="00F46948" w:rsidRDefault="00F46948" w:rsidP="009E6088">
      <w:pPr>
        <w:pStyle w:val="Heading1"/>
        <w:rPr>
          <w:rFonts w:asciiTheme="majorBidi" w:hAnsiTheme="majorBidi" w:cstheme="majorBidi"/>
        </w:rPr>
      </w:pPr>
      <w:r w:rsidRPr="00D415F9">
        <w:rPr>
          <w:rFonts w:asciiTheme="majorBidi" w:hAnsiTheme="majorBidi" w:cstheme="majorBidi"/>
        </w:rPr>
        <w:t>References</w:t>
      </w:r>
    </w:p>
    <w:p w14:paraId="0FC228B6" w14:textId="46265C0A" w:rsidR="005D6820" w:rsidRPr="005D6820" w:rsidRDefault="005D6820" w:rsidP="00783C00">
      <w:pPr>
        <w:pStyle w:val="NoSpacing"/>
        <w:spacing w:after="240"/>
        <w:ind w:left="720" w:hanging="720"/>
        <w:jc w:val="both"/>
        <w:rPr>
          <w:rFonts w:ascii="Times New Roman" w:hAnsi="Times New Roman" w:cs="Times New Roman"/>
          <w:i/>
          <w:sz w:val="24"/>
          <w:szCs w:val="24"/>
        </w:rPr>
      </w:pPr>
      <w:bookmarkStart w:id="24" w:name="_Hlk93524769"/>
      <w:proofErr w:type="spellStart"/>
      <w:r w:rsidRPr="005D6820">
        <w:rPr>
          <w:rFonts w:ascii="Times New Roman" w:hAnsi="Times New Roman" w:cs="Times New Roman"/>
          <w:sz w:val="24"/>
          <w:szCs w:val="24"/>
        </w:rPr>
        <w:t>Abdelwahab</w:t>
      </w:r>
      <w:proofErr w:type="spellEnd"/>
      <w:r w:rsidRPr="005D6820">
        <w:rPr>
          <w:rFonts w:ascii="Times New Roman" w:hAnsi="Times New Roman" w:cs="Times New Roman"/>
          <w:sz w:val="24"/>
          <w:szCs w:val="24"/>
        </w:rPr>
        <w:t xml:space="preserve"> A., Amor O., &amp; </w:t>
      </w:r>
      <w:proofErr w:type="spellStart"/>
      <w:r w:rsidRPr="005D6820">
        <w:rPr>
          <w:rFonts w:ascii="Times New Roman" w:hAnsi="Times New Roman" w:cs="Times New Roman"/>
          <w:sz w:val="24"/>
          <w:szCs w:val="24"/>
        </w:rPr>
        <w:t>Abdelwahed</w:t>
      </w:r>
      <w:proofErr w:type="spellEnd"/>
      <w:r w:rsidRPr="005D6820">
        <w:rPr>
          <w:rFonts w:ascii="Times New Roman" w:hAnsi="Times New Roman" w:cs="Times New Roman"/>
          <w:sz w:val="24"/>
          <w:szCs w:val="24"/>
        </w:rPr>
        <w:t xml:space="preserve"> T. (2008). The analysis of the interdependence structure in international financial markets by graphical models.</w:t>
      </w:r>
      <w:r w:rsidR="0090340E">
        <w:rPr>
          <w:rFonts w:ascii="Times New Roman" w:hAnsi="Times New Roman" w:cs="Times New Roman"/>
          <w:sz w:val="24"/>
          <w:szCs w:val="24"/>
        </w:rPr>
        <w:t xml:space="preserve"> </w:t>
      </w:r>
      <w:r w:rsidRPr="005D6820">
        <w:rPr>
          <w:rFonts w:ascii="Times New Roman" w:hAnsi="Times New Roman" w:cs="Times New Roman"/>
          <w:i/>
          <w:sz w:val="24"/>
          <w:szCs w:val="24"/>
        </w:rPr>
        <w:t xml:space="preserve">International </w:t>
      </w:r>
    </w:p>
    <w:p w14:paraId="26A08E8F" w14:textId="1D5E648F"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i/>
          <w:sz w:val="24"/>
          <w:szCs w:val="24"/>
        </w:rPr>
        <w:t>research journal of finance and economics</w:t>
      </w:r>
      <w:r w:rsidRPr="005D6820">
        <w:rPr>
          <w:rFonts w:ascii="Times New Roman" w:hAnsi="Times New Roman" w:cs="Times New Roman"/>
          <w:sz w:val="24"/>
          <w:szCs w:val="24"/>
        </w:rPr>
        <w:t>,</w:t>
      </w:r>
      <w:r w:rsidR="0090340E">
        <w:rPr>
          <w:rFonts w:ascii="Times New Roman" w:hAnsi="Times New Roman" w:cs="Times New Roman"/>
          <w:sz w:val="24"/>
          <w:szCs w:val="24"/>
        </w:rPr>
        <w:t xml:space="preserve"> </w:t>
      </w:r>
      <w:r w:rsidRPr="005D6820">
        <w:rPr>
          <w:rFonts w:ascii="Times New Roman" w:hAnsi="Times New Roman" w:cs="Times New Roman"/>
          <w:sz w:val="24"/>
          <w:szCs w:val="24"/>
        </w:rPr>
        <w:t xml:space="preserve">15(2), 1-306. </w:t>
      </w:r>
    </w:p>
    <w:p w14:paraId="77398E5E" w14:textId="3DBFCCEF"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Ali, S. S., Mubeen, M., Hussain, A., Lal, I. (2018). Prediction of stock performance by using logistic regression model: evidence from Pakistan stock exchange (PSX). </w:t>
      </w:r>
      <w:r w:rsidRPr="005D6820">
        <w:rPr>
          <w:rFonts w:ascii="Times New Roman" w:hAnsi="Times New Roman" w:cs="Times New Roman"/>
          <w:i/>
          <w:sz w:val="24"/>
          <w:szCs w:val="24"/>
        </w:rPr>
        <w:t xml:space="preserve">Asian Journal of Empirical Research, 8 </w:t>
      </w:r>
      <w:r w:rsidRPr="005D6820">
        <w:rPr>
          <w:rFonts w:ascii="Times New Roman" w:hAnsi="Times New Roman" w:cs="Times New Roman"/>
          <w:sz w:val="24"/>
          <w:szCs w:val="24"/>
        </w:rPr>
        <w:t>(7), 247-258.</w:t>
      </w:r>
    </w:p>
    <w:p w14:paraId="163D5BA0" w14:textId="37CD62D1" w:rsidR="005D6820" w:rsidRPr="005D6820" w:rsidRDefault="005D6820" w:rsidP="00783C00">
      <w:pPr>
        <w:pStyle w:val="NoSpacing"/>
        <w:spacing w:after="240"/>
        <w:ind w:left="720" w:hanging="720"/>
        <w:jc w:val="both"/>
        <w:rPr>
          <w:rFonts w:ascii="Times New Roman" w:hAnsi="Times New Roman" w:cs="Times New Roman"/>
          <w:sz w:val="24"/>
          <w:szCs w:val="24"/>
        </w:rPr>
      </w:pPr>
      <w:proofErr w:type="spellStart"/>
      <w:r w:rsidRPr="005D6820">
        <w:rPr>
          <w:rFonts w:ascii="Times New Roman" w:hAnsi="Times New Roman" w:cs="Times New Roman"/>
          <w:sz w:val="24"/>
          <w:szCs w:val="24"/>
        </w:rPr>
        <w:t>Baumöhl</w:t>
      </w:r>
      <w:proofErr w:type="spellEnd"/>
      <w:r w:rsidRPr="005D6820">
        <w:rPr>
          <w:rFonts w:ascii="Times New Roman" w:hAnsi="Times New Roman" w:cs="Times New Roman"/>
          <w:sz w:val="24"/>
          <w:szCs w:val="24"/>
        </w:rPr>
        <w:t xml:space="preserve">, E. (2013). Stock market integration between the CEE-4 and the G7 markets: Asymmetric DCC and smooth transition approach. </w:t>
      </w:r>
      <w:r w:rsidRPr="005D6820">
        <w:rPr>
          <w:rFonts w:ascii="Times New Roman" w:hAnsi="Times New Roman" w:cs="Times New Roman"/>
          <w:i/>
          <w:sz w:val="24"/>
          <w:szCs w:val="24"/>
        </w:rPr>
        <w:t>MPRA</w:t>
      </w:r>
      <w:r w:rsidRPr="005D6820">
        <w:rPr>
          <w:rFonts w:ascii="Times New Roman" w:hAnsi="Times New Roman" w:cs="Times New Roman"/>
          <w:sz w:val="24"/>
          <w:szCs w:val="24"/>
        </w:rPr>
        <w:t xml:space="preserve">. </w:t>
      </w:r>
      <w:r w:rsidRPr="0090340E">
        <w:rPr>
          <w:rFonts w:ascii="Times New Roman" w:hAnsi="Times New Roman" w:cs="Times New Roman"/>
          <w:sz w:val="24"/>
          <w:szCs w:val="24"/>
        </w:rPr>
        <w:t>https://mpra.ub.uni-muenchen.de/43834/</w:t>
      </w:r>
      <w:r w:rsidRPr="005D6820">
        <w:rPr>
          <w:rFonts w:ascii="Times New Roman" w:hAnsi="Times New Roman" w:cs="Times New Roman"/>
          <w:sz w:val="24"/>
          <w:szCs w:val="24"/>
        </w:rPr>
        <w:t>.</w:t>
      </w:r>
    </w:p>
    <w:p w14:paraId="30CF05D6" w14:textId="16A153FC"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Brooks C. (2014).</w:t>
      </w:r>
      <w:r w:rsidR="0090340E">
        <w:rPr>
          <w:rFonts w:ascii="Times New Roman" w:hAnsi="Times New Roman" w:cs="Times New Roman"/>
          <w:sz w:val="24"/>
          <w:szCs w:val="24"/>
        </w:rPr>
        <w:t xml:space="preserve"> </w:t>
      </w:r>
      <w:r w:rsidRPr="005D6820">
        <w:rPr>
          <w:rFonts w:ascii="Times New Roman" w:hAnsi="Times New Roman" w:cs="Times New Roman"/>
          <w:iCs/>
          <w:sz w:val="24"/>
          <w:szCs w:val="24"/>
        </w:rPr>
        <w:t>Introductory econometrics for finance</w:t>
      </w:r>
      <w:r w:rsidRPr="005D6820">
        <w:rPr>
          <w:rFonts w:ascii="Times New Roman" w:hAnsi="Times New Roman" w:cs="Times New Roman"/>
          <w:sz w:val="24"/>
          <w:szCs w:val="24"/>
        </w:rPr>
        <w:t xml:space="preserve">. </w:t>
      </w:r>
      <w:r w:rsidRPr="005D6820">
        <w:rPr>
          <w:rFonts w:ascii="Times New Roman" w:hAnsi="Times New Roman" w:cs="Times New Roman"/>
          <w:i/>
          <w:sz w:val="24"/>
          <w:szCs w:val="24"/>
        </w:rPr>
        <w:t>Cambridge university press</w:t>
      </w:r>
      <w:r w:rsidRPr="005D6820">
        <w:rPr>
          <w:rFonts w:ascii="Times New Roman" w:hAnsi="Times New Roman" w:cs="Times New Roman"/>
          <w:sz w:val="24"/>
          <w:szCs w:val="24"/>
        </w:rPr>
        <w:t>.</w:t>
      </w:r>
    </w:p>
    <w:p w14:paraId="5C9FFC09" w14:textId="7DB8BC8E"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Chen G., Firth M., &amp; Rui O. M. (2002). Stock market linkages: evidence from Latin</w:t>
      </w:r>
      <w:r>
        <w:rPr>
          <w:rFonts w:ascii="Times New Roman" w:hAnsi="Times New Roman" w:cs="Times New Roman"/>
          <w:sz w:val="24"/>
          <w:szCs w:val="24"/>
        </w:rPr>
        <w:t xml:space="preserve"> </w:t>
      </w:r>
      <w:r w:rsidRPr="005D6820">
        <w:rPr>
          <w:rFonts w:ascii="Times New Roman" w:hAnsi="Times New Roman" w:cs="Times New Roman"/>
          <w:sz w:val="24"/>
          <w:szCs w:val="24"/>
        </w:rPr>
        <w:t>America.</w:t>
      </w:r>
      <w:r w:rsidR="0090340E">
        <w:rPr>
          <w:rFonts w:ascii="Times New Roman" w:hAnsi="Times New Roman" w:cs="Times New Roman"/>
          <w:sz w:val="24"/>
          <w:szCs w:val="24"/>
        </w:rPr>
        <w:t xml:space="preserve"> </w:t>
      </w:r>
      <w:r w:rsidRPr="005D6820">
        <w:rPr>
          <w:rFonts w:ascii="Times New Roman" w:hAnsi="Times New Roman" w:cs="Times New Roman"/>
          <w:i/>
          <w:sz w:val="24"/>
          <w:szCs w:val="24"/>
        </w:rPr>
        <w:t>Journal of Banking &amp; Finance</w:t>
      </w:r>
      <w:r w:rsidRPr="005D6820">
        <w:rPr>
          <w:rFonts w:ascii="Times New Roman" w:hAnsi="Times New Roman" w:cs="Times New Roman"/>
          <w:sz w:val="24"/>
          <w:szCs w:val="24"/>
        </w:rPr>
        <w:t>,</w:t>
      </w:r>
      <w:r w:rsidR="0090340E">
        <w:rPr>
          <w:rFonts w:ascii="Times New Roman" w:hAnsi="Times New Roman" w:cs="Times New Roman"/>
          <w:sz w:val="24"/>
          <w:szCs w:val="24"/>
        </w:rPr>
        <w:t xml:space="preserve"> </w:t>
      </w:r>
      <w:r w:rsidRPr="0090340E">
        <w:rPr>
          <w:rFonts w:ascii="Times New Roman" w:hAnsi="Times New Roman" w:cs="Times New Roman"/>
          <w:i/>
          <w:iCs/>
          <w:sz w:val="24"/>
          <w:szCs w:val="24"/>
        </w:rPr>
        <w:t>26</w:t>
      </w:r>
      <w:r w:rsidRPr="005D6820">
        <w:rPr>
          <w:rFonts w:ascii="Times New Roman" w:hAnsi="Times New Roman" w:cs="Times New Roman"/>
          <w:sz w:val="24"/>
          <w:szCs w:val="24"/>
        </w:rPr>
        <w:t>(6), 1113-1141.</w:t>
      </w:r>
    </w:p>
    <w:p w14:paraId="60B01AC1" w14:textId="0C10DFB5"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Choudhry T. (1997). Stochastic trends in stock prices: evidence from Latin American markets.</w:t>
      </w:r>
      <w:r w:rsidR="0090340E">
        <w:rPr>
          <w:rFonts w:ascii="Times New Roman" w:hAnsi="Times New Roman" w:cs="Times New Roman"/>
          <w:sz w:val="24"/>
          <w:szCs w:val="24"/>
        </w:rPr>
        <w:t xml:space="preserve"> </w:t>
      </w:r>
      <w:r w:rsidRPr="005D6820">
        <w:rPr>
          <w:rFonts w:ascii="Times New Roman" w:hAnsi="Times New Roman" w:cs="Times New Roman"/>
          <w:i/>
          <w:sz w:val="24"/>
          <w:szCs w:val="24"/>
        </w:rPr>
        <w:t>Journal of Macroeconomics</w:t>
      </w:r>
      <w:r w:rsidRPr="005D6820">
        <w:rPr>
          <w:rFonts w:ascii="Times New Roman" w:hAnsi="Times New Roman" w:cs="Times New Roman"/>
          <w:sz w:val="24"/>
          <w:szCs w:val="24"/>
        </w:rPr>
        <w:t>,</w:t>
      </w:r>
      <w:r w:rsidR="0090340E">
        <w:rPr>
          <w:rFonts w:ascii="Times New Roman" w:hAnsi="Times New Roman" w:cs="Times New Roman"/>
          <w:sz w:val="24"/>
          <w:szCs w:val="24"/>
        </w:rPr>
        <w:t xml:space="preserve"> </w:t>
      </w:r>
      <w:r w:rsidRPr="0090340E">
        <w:rPr>
          <w:rFonts w:ascii="Times New Roman" w:hAnsi="Times New Roman" w:cs="Times New Roman"/>
          <w:i/>
          <w:iCs/>
          <w:sz w:val="24"/>
          <w:szCs w:val="24"/>
        </w:rPr>
        <w:t>19</w:t>
      </w:r>
      <w:r w:rsidRPr="005D6820">
        <w:rPr>
          <w:rFonts w:ascii="Times New Roman" w:hAnsi="Times New Roman" w:cs="Times New Roman"/>
          <w:sz w:val="24"/>
          <w:szCs w:val="24"/>
        </w:rPr>
        <w:t>(2), 285-304.</w:t>
      </w:r>
    </w:p>
    <w:p w14:paraId="726D3ED0" w14:textId="6C56B43D" w:rsidR="005D6820" w:rsidRPr="005D6820" w:rsidRDefault="005D6820" w:rsidP="00783C00">
      <w:pPr>
        <w:pStyle w:val="NoSpacing"/>
        <w:spacing w:after="240"/>
        <w:ind w:left="720" w:hanging="720"/>
        <w:jc w:val="both"/>
        <w:rPr>
          <w:rFonts w:ascii="Times New Roman" w:hAnsi="Times New Roman" w:cs="Times New Roman"/>
          <w:sz w:val="24"/>
          <w:szCs w:val="24"/>
        </w:rPr>
      </w:pPr>
      <w:proofErr w:type="spellStart"/>
      <w:r w:rsidRPr="005D6820">
        <w:rPr>
          <w:rFonts w:ascii="Times New Roman" w:hAnsi="Times New Roman" w:cs="Times New Roman"/>
          <w:sz w:val="24"/>
          <w:szCs w:val="24"/>
        </w:rPr>
        <w:t>Dilip</w:t>
      </w:r>
      <w:proofErr w:type="spellEnd"/>
      <w:r w:rsidRPr="005D6820">
        <w:rPr>
          <w:rFonts w:ascii="Times New Roman" w:hAnsi="Times New Roman" w:cs="Times New Roman"/>
          <w:sz w:val="24"/>
          <w:szCs w:val="24"/>
        </w:rPr>
        <w:t xml:space="preserve"> K. Das (2011): How did the Asian economy cope with the global financial crisis </w:t>
      </w:r>
      <w:r>
        <w:rPr>
          <w:rFonts w:ascii="Times New Roman" w:hAnsi="Times New Roman" w:cs="Times New Roman"/>
          <w:sz w:val="24"/>
          <w:szCs w:val="24"/>
        </w:rPr>
        <w:t>a</w:t>
      </w:r>
      <w:r w:rsidRPr="005D6820">
        <w:rPr>
          <w:rFonts w:ascii="Times New Roman" w:hAnsi="Times New Roman" w:cs="Times New Roman"/>
          <w:sz w:val="24"/>
          <w:szCs w:val="24"/>
        </w:rPr>
        <w:t>nd recession? A revaluation and review, Asia Pacific Business Review, 18(1).</w:t>
      </w:r>
    </w:p>
    <w:p w14:paraId="0E4E8887" w14:textId="2A72964D" w:rsidR="005D6820" w:rsidRPr="005D6820" w:rsidRDefault="005D6820" w:rsidP="00783C00">
      <w:pPr>
        <w:pStyle w:val="NoSpacing"/>
        <w:spacing w:after="240"/>
        <w:ind w:left="720" w:hanging="720"/>
        <w:jc w:val="both"/>
        <w:rPr>
          <w:rFonts w:ascii="Times New Roman" w:hAnsi="Times New Roman" w:cs="Times New Roman"/>
          <w:sz w:val="24"/>
          <w:szCs w:val="24"/>
        </w:rPr>
      </w:pPr>
      <w:proofErr w:type="spellStart"/>
      <w:r w:rsidRPr="005D6820">
        <w:rPr>
          <w:rFonts w:ascii="Times New Roman" w:hAnsi="Times New Roman" w:cs="Times New Roman"/>
          <w:sz w:val="24"/>
          <w:szCs w:val="24"/>
        </w:rPr>
        <w:t>Elyasiani</w:t>
      </w:r>
      <w:proofErr w:type="spellEnd"/>
      <w:r w:rsidRPr="005D6820">
        <w:rPr>
          <w:rFonts w:ascii="Times New Roman" w:hAnsi="Times New Roman" w:cs="Times New Roman"/>
          <w:sz w:val="24"/>
          <w:szCs w:val="24"/>
        </w:rPr>
        <w:t xml:space="preserve"> E., </w:t>
      </w:r>
      <w:proofErr w:type="spellStart"/>
      <w:r w:rsidRPr="005D6820">
        <w:rPr>
          <w:rFonts w:ascii="Times New Roman" w:hAnsi="Times New Roman" w:cs="Times New Roman"/>
          <w:sz w:val="24"/>
          <w:szCs w:val="24"/>
        </w:rPr>
        <w:t>Perera</w:t>
      </w:r>
      <w:proofErr w:type="spellEnd"/>
      <w:r w:rsidRPr="005D6820">
        <w:rPr>
          <w:rFonts w:ascii="Times New Roman" w:hAnsi="Times New Roman" w:cs="Times New Roman"/>
          <w:sz w:val="24"/>
          <w:szCs w:val="24"/>
        </w:rPr>
        <w:t xml:space="preserve"> P., &amp; Puri, T. N. (1998). Interdependence and dynamic linkages </w:t>
      </w:r>
      <w:r w:rsidRPr="005D6820">
        <w:rPr>
          <w:rFonts w:ascii="Times New Roman" w:hAnsi="Times New Roman" w:cs="Times New Roman"/>
          <w:sz w:val="24"/>
          <w:szCs w:val="24"/>
        </w:rPr>
        <w:tab/>
        <w:t>between stock markets of Sri Lanka and its trading partners.</w:t>
      </w:r>
      <w:r w:rsidR="0090340E">
        <w:rPr>
          <w:rFonts w:ascii="Times New Roman" w:hAnsi="Times New Roman" w:cs="Times New Roman"/>
          <w:sz w:val="24"/>
          <w:szCs w:val="24"/>
        </w:rPr>
        <w:t xml:space="preserve"> </w:t>
      </w:r>
      <w:r w:rsidRPr="005D6820">
        <w:rPr>
          <w:rFonts w:ascii="Times New Roman" w:hAnsi="Times New Roman" w:cs="Times New Roman"/>
          <w:i/>
          <w:iCs/>
          <w:sz w:val="24"/>
          <w:szCs w:val="24"/>
        </w:rPr>
        <w:t>Journal of Multinational Financial Management</w:t>
      </w:r>
      <w:r w:rsidRPr="005D6820">
        <w:rPr>
          <w:rFonts w:ascii="Times New Roman" w:hAnsi="Times New Roman" w:cs="Times New Roman"/>
          <w:sz w:val="24"/>
          <w:szCs w:val="24"/>
        </w:rPr>
        <w:t>,</w:t>
      </w:r>
      <w:r w:rsidR="0090340E">
        <w:rPr>
          <w:rFonts w:ascii="Times New Roman" w:hAnsi="Times New Roman" w:cs="Times New Roman"/>
          <w:sz w:val="24"/>
          <w:szCs w:val="24"/>
        </w:rPr>
        <w:t xml:space="preserve"> </w:t>
      </w:r>
      <w:r w:rsidRPr="005D6820">
        <w:rPr>
          <w:rFonts w:ascii="Times New Roman" w:hAnsi="Times New Roman" w:cs="Times New Roman"/>
          <w:i/>
          <w:iCs/>
          <w:sz w:val="24"/>
          <w:szCs w:val="24"/>
        </w:rPr>
        <w:t>8</w:t>
      </w:r>
      <w:r w:rsidRPr="005D6820">
        <w:rPr>
          <w:rFonts w:ascii="Times New Roman" w:hAnsi="Times New Roman" w:cs="Times New Roman"/>
          <w:sz w:val="24"/>
          <w:szCs w:val="24"/>
        </w:rPr>
        <w:t>(1), 89-101.</w:t>
      </w:r>
    </w:p>
    <w:p w14:paraId="5A902D92" w14:textId="5085699F"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Engle R. and C.W.J. Granger, (1987): Co-integration and Error-Correction: Representation, Estimation and Testing</w:t>
      </w:r>
      <w:r w:rsidRPr="005D6820">
        <w:rPr>
          <w:rFonts w:ascii="Times New Roman" w:hAnsi="Times New Roman" w:cs="Times New Roman"/>
          <w:i/>
          <w:sz w:val="24"/>
          <w:szCs w:val="24"/>
        </w:rPr>
        <w:t xml:space="preserve">, </w:t>
      </w:r>
      <w:proofErr w:type="spellStart"/>
      <w:r w:rsidRPr="005D6820">
        <w:rPr>
          <w:rFonts w:ascii="Times New Roman" w:hAnsi="Times New Roman" w:cs="Times New Roman"/>
          <w:i/>
          <w:sz w:val="24"/>
          <w:szCs w:val="24"/>
        </w:rPr>
        <w:t>Econometrica</w:t>
      </w:r>
      <w:proofErr w:type="spellEnd"/>
      <w:r w:rsidRPr="005D6820">
        <w:rPr>
          <w:rFonts w:ascii="Times New Roman" w:hAnsi="Times New Roman" w:cs="Times New Roman"/>
          <w:i/>
          <w:sz w:val="24"/>
          <w:szCs w:val="24"/>
        </w:rPr>
        <w:t>,</w:t>
      </w:r>
      <w:r w:rsidRPr="0090340E">
        <w:rPr>
          <w:rFonts w:ascii="Times New Roman" w:hAnsi="Times New Roman" w:cs="Times New Roman"/>
          <w:i/>
          <w:iCs/>
          <w:sz w:val="24"/>
          <w:szCs w:val="24"/>
        </w:rPr>
        <w:t xml:space="preserve"> 55</w:t>
      </w:r>
      <w:r w:rsidRPr="005D6820">
        <w:rPr>
          <w:rFonts w:ascii="Times New Roman" w:hAnsi="Times New Roman" w:cs="Times New Roman"/>
          <w:sz w:val="24"/>
          <w:szCs w:val="24"/>
        </w:rPr>
        <w:t>, 251-276.</w:t>
      </w:r>
    </w:p>
    <w:p w14:paraId="40D3EDE1" w14:textId="77777777"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Gujarati, D. (2011). Econometrics by example (1st ed.). London: Palgrave Macmillan.</w:t>
      </w:r>
    </w:p>
    <w:p w14:paraId="1D59B658" w14:textId="77777777" w:rsidR="005D6820" w:rsidRPr="005D6820" w:rsidRDefault="005D6820" w:rsidP="00783C00">
      <w:pPr>
        <w:pStyle w:val="NoSpacing"/>
        <w:spacing w:after="240"/>
        <w:ind w:left="720" w:hanging="720"/>
        <w:jc w:val="both"/>
        <w:rPr>
          <w:rFonts w:ascii="Times New Roman" w:hAnsi="Times New Roman" w:cs="Times New Roman"/>
          <w:sz w:val="24"/>
          <w:szCs w:val="24"/>
        </w:rPr>
      </w:pPr>
    </w:p>
    <w:p w14:paraId="03FA6054" w14:textId="2828284A"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Fernandez-Serrano, J.L. and S. </w:t>
      </w:r>
      <w:proofErr w:type="spellStart"/>
      <w:r w:rsidRPr="005D6820">
        <w:rPr>
          <w:rFonts w:ascii="Times New Roman" w:hAnsi="Times New Roman" w:cs="Times New Roman"/>
          <w:sz w:val="24"/>
          <w:szCs w:val="24"/>
        </w:rPr>
        <w:t>Sosvilla</w:t>
      </w:r>
      <w:proofErr w:type="spellEnd"/>
      <w:r w:rsidRPr="005D6820">
        <w:rPr>
          <w:rFonts w:ascii="Times New Roman" w:hAnsi="Times New Roman" w:cs="Times New Roman"/>
          <w:sz w:val="24"/>
          <w:szCs w:val="24"/>
        </w:rPr>
        <w:t xml:space="preserve">-Rivero (2001): Modelling Evolving Long-run Relationships: The Linkages between Stock Markets in Asia, </w:t>
      </w:r>
      <w:r w:rsidRPr="005D6820">
        <w:rPr>
          <w:rFonts w:ascii="Times New Roman" w:hAnsi="Times New Roman" w:cs="Times New Roman"/>
          <w:i/>
          <w:sz w:val="24"/>
          <w:szCs w:val="24"/>
        </w:rPr>
        <w:t>Japan and the</w:t>
      </w:r>
      <w:r>
        <w:rPr>
          <w:rFonts w:ascii="Times New Roman" w:hAnsi="Times New Roman" w:cs="Times New Roman"/>
          <w:sz w:val="24"/>
          <w:szCs w:val="24"/>
        </w:rPr>
        <w:t xml:space="preserve"> </w:t>
      </w:r>
      <w:r w:rsidRPr="005D6820">
        <w:rPr>
          <w:rFonts w:ascii="Times New Roman" w:hAnsi="Times New Roman" w:cs="Times New Roman"/>
          <w:i/>
          <w:sz w:val="24"/>
          <w:szCs w:val="24"/>
        </w:rPr>
        <w:t>World Economy, 13</w:t>
      </w:r>
      <w:r w:rsidRPr="005D6820">
        <w:rPr>
          <w:rFonts w:ascii="Times New Roman" w:hAnsi="Times New Roman" w:cs="Times New Roman"/>
          <w:sz w:val="24"/>
          <w:szCs w:val="24"/>
        </w:rPr>
        <w:t>, 145-160.</w:t>
      </w:r>
    </w:p>
    <w:p w14:paraId="6ECAC8F2" w14:textId="47CAEA5E"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Harper A., </w:t>
      </w:r>
      <w:proofErr w:type="spellStart"/>
      <w:r w:rsidRPr="005D6820">
        <w:rPr>
          <w:rFonts w:ascii="Times New Roman" w:hAnsi="Times New Roman" w:cs="Times New Roman"/>
          <w:sz w:val="24"/>
          <w:szCs w:val="24"/>
        </w:rPr>
        <w:t>Jin</w:t>
      </w:r>
      <w:proofErr w:type="spellEnd"/>
      <w:r w:rsidRPr="005D6820">
        <w:rPr>
          <w:rFonts w:ascii="Times New Roman" w:hAnsi="Times New Roman" w:cs="Times New Roman"/>
          <w:sz w:val="24"/>
          <w:szCs w:val="24"/>
        </w:rPr>
        <w:t xml:space="preserve"> Z. &amp; </w:t>
      </w:r>
      <w:proofErr w:type="spellStart"/>
      <w:r w:rsidRPr="005D6820">
        <w:rPr>
          <w:rFonts w:ascii="Times New Roman" w:hAnsi="Times New Roman" w:cs="Times New Roman"/>
          <w:sz w:val="24"/>
          <w:szCs w:val="24"/>
        </w:rPr>
        <w:t>Gleghorn</w:t>
      </w:r>
      <w:proofErr w:type="spellEnd"/>
      <w:r w:rsidRPr="005D6820">
        <w:rPr>
          <w:rFonts w:ascii="Times New Roman" w:hAnsi="Times New Roman" w:cs="Times New Roman"/>
          <w:sz w:val="24"/>
          <w:szCs w:val="24"/>
        </w:rPr>
        <w:t xml:space="preserve"> G. (2013). Do these stock markets move together? An empirical study of India and its major trading partners.</w:t>
      </w:r>
      <w:r w:rsidR="0090340E">
        <w:rPr>
          <w:rFonts w:ascii="Times New Roman" w:hAnsi="Times New Roman" w:cs="Times New Roman"/>
          <w:sz w:val="24"/>
          <w:szCs w:val="24"/>
        </w:rPr>
        <w:t xml:space="preserve"> </w:t>
      </w:r>
      <w:r w:rsidRPr="005D6820">
        <w:rPr>
          <w:rFonts w:ascii="Times New Roman" w:hAnsi="Times New Roman" w:cs="Times New Roman"/>
          <w:i/>
          <w:iCs/>
          <w:sz w:val="24"/>
          <w:szCs w:val="24"/>
        </w:rPr>
        <w:t>Academy of Accounting and Financial Studies Journal</w:t>
      </w:r>
      <w:r w:rsidRPr="005D6820">
        <w:rPr>
          <w:rFonts w:ascii="Times New Roman" w:hAnsi="Times New Roman" w:cs="Times New Roman"/>
          <w:sz w:val="24"/>
          <w:szCs w:val="24"/>
        </w:rPr>
        <w:t>,</w:t>
      </w:r>
      <w:r w:rsidR="0090340E">
        <w:rPr>
          <w:rFonts w:ascii="Times New Roman" w:hAnsi="Times New Roman" w:cs="Times New Roman"/>
          <w:sz w:val="24"/>
          <w:szCs w:val="24"/>
        </w:rPr>
        <w:t xml:space="preserve"> </w:t>
      </w:r>
      <w:r w:rsidRPr="005D6820">
        <w:rPr>
          <w:rFonts w:ascii="Times New Roman" w:hAnsi="Times New Roman" w:cs="Times New Roman"/>
          <w:i/>
          <w:iCs/>
          <w:sz w:val="24"/>
          <w:szCs w:val="24"/>
        </w:rPr>
        <w:t>17</w:t>
      </w:r>
      <w:r w:rsidRPr="005D6820">
        <w:rPr>
          <w:rFonts w:ascii="Times New Roman" w:hAnsi="Times New Roman" w:cs="Times New Roman"/>
          <w:sz w:val="24"/>
          <w:szCs w:val="24"/>
        </w:rPr>
        <w:t>(3), 13.</w:t>
      </w:r>
    </w:p>
    <w:p w14:paraId="0FFB9D45" w14:textId="095D3915" w:rsidR="005D6820" w:rsidRPr="005D6820" w:rsidRDefault="005D6820" w:rsidP="00783C00">
      <w:pPr>
        <w:pStyle w:val="NoSpacing"/>
        <w:spacing w:after="240"/>
        <w:ind w:left="720" w:hanging="720"/>
        <w:jc w:val="both"/>
        <w:rPr>
          <w:rFonts w:ascii="Times New Roman" w:hAnsi="Times New Roman" w:cs="Times New Roman"/>
          <w:sz w:val="24"/>
          <w:szCs w:val="24"/>
        </w:rPr>
      </w:pPr>
      <w:proofErr w:type="spellStart"/>
      <w:r w:rsidRPr="005D6820">
        <w:rPr>
          <w:rFonts w:ascii="Times New Roman" w:hAnsi="Times New Roman" w:cs="Times New Roman"/>
          <w:sz w:val="24"/>
          <w:szCs w:val="24"/>
        </w:rPr>
        <w:t>Hassouneh</w:t>
      </w:r>
      <w:proofErr w:type="spellEnd"/>
      <w:r w:rsidRPr="005D6820">
        <w:rPr>
          <w:rFonts w:ascii="Times New Roman" w:hAnsi="Times New Roman" w:cs="Times New Roman"/>
          <w:sz w:val="24"/>
          <w:szCs w:val="24"/>
        </w:rPr>
        <w:t xml:space="preserve"> I., </w:t>
      </w:r>
      <w:proofErr w:type="spellStart"/>
      <w:r w:rsidRPr="005D6820">
        <w:rPr>
          <w:rFonts w:ascii="Times New Roman" w:hAnsi="Times New Roman" w:cs="Times New Roman"/>
          <w:sz w:val="24"/>
          <w:szCs w:val="24"/>
        </w:rPr>
        <w:t>Couleau</w:t>
      </w:r>
      <w:proofErr w:type="spellEnd"/>
      <w:r w:rsidRPr="005D6820">
        <w:rPr>
          <w:rFonts w:ascii="Times New Roman" w:hAnsi="Times New Roman" w:cs="Times New Roman"/>
          <w:sz w:val="24"/>
          <w:szCs w:val="24"/>
        </w:rPr>
        <w:t xml:space="preserve"> A., Serra T., &amp; Al-Sharif I. (2017). The effect of conflict on Palestine, Israel, and Jordan stock markets.</w:t>
      </w:r>
      <w:r w:rsidR="0090340E">
        <w:rPr>
          <w:rFonts w:ascii="Times New Roman" w:hAnsi="Times New Roman" w:cs="Times New Roman"/>
          <w:sz w:val="24"/>
          <w:szCs w:val="24"/>
        </w:rPr>
        <w:t xml:space="preserve"> </w:t>
      </w:r>
      <w:r w:rsidRPr="005D6820">
        <w:rPr>
          <w:rFonts w:ascii="Times New Roman" w:hAnsi="Times New Roman" w:cs="Times New Roman"/>
          <w:i/>
          <w:iCs/>
          <w:sz w:val="24"/>
          <w:szCs w:val="24"/>
        </w:rPr>
        <w:t>International Review of Economics &amp; Finance</w:t>
      </w:r>
      <w:r w:rsidRPr="005D6820">
        <w:rPr>
          <w:rFonts w:ascii="Times New Roman" w:hAnsi="Times New Roman" w:cs="Times New Roman"/>
          <w:sz w:val="24"/>
          <w:szCs w:val="24"/>
        </w:rPr>
        <w:t>.</w:t>
      </w:r>
      <w:r w:rsidRPr="005D6820">
        <w:rPr>
          <w:rFonts w:ascii="Times New Roman" w:hAnsi="Times New Roman" w:cs="Times New Roman"/>
          <w:color w:val="333333"/>
          <w:sz w:val="24"/>
          <w:szCs w:val="24"/>
          <w:shd w:val="clear" w:color="auto" w:fill="FFFFFF"/>
        </w:rPr>
        <w:t xml:space="preserve"> </w:t>
      </w:r>
      <w:r w:rsidRPr="0090340E">
        <w:rPr>
          <w:rFonts w:ascii="Times New Roman" w:hAnsi="Times New Roman" w:cs="Times New Roman"/>
          <w:i/>
          <w:iCs/>
          <w:sz w:val="24"/>
          <w:szCs w:val="24"/>
        </w:rPr>
        <w:t>56</w:t>
      </w:r>
      <w:r w:rsidRPr="005D6820">
        <w:rPr>
          <w:rFonts w:ascii="Times New Roman" w:hAnsi="Times New Roman" w:cs="Times New Roman"/>
          <w:sz w:val="24"/>
          <w:szCs w:val="24"/>
        </w:rPr>
        <w:t>(C), pages 258-266.</w:t>
      </w:r>
    </w:p>
    <w:p w14:paraId="15AE01B3" w14:textId="1EA6559D" w:rsidR="005D6820" w:rsidRPr="005D6820" w:rsidRDefault="005D6820" w:rsidP="00783C00">
      <w:pPr>
        <w:pStyle w:val="NoSpacing"/>
        <w:spacing w:after="240"/>
        <w:ind w:left="720" w:hanging="720"/>
        <w:jc w:val="both"/>
        <w:rPr>
          <w:rFonts w:ascii="Times New Roman" w:hAnsi="Times New Roman" w:cs="Times New Roman"/>
          <w:sz w:val="24"/>
          <w:szCs w:val="24"/>
        </w:rPr>
      </w:pPr>
      <w:proofErr w:type="spellStart"/>
      <w:r w:rsidRPr="005D6820">
        <w:rPr>
          <w:rFonts w:ascii="Times New Roman" w:hAnsi="Times New Roman" w:cs="Times New Roman"/>
          <w:sz w:val="24"/>
          <w:szCs w:val="24"/>
        </w:rPr>
        <w:t>Heilmann</w:t>
      </w:r>
      <w:proofErr w:type="spellEnd"/>
      <w:r w:rsidRPr="005D6820">
        <w:rPr>
          <w:rFonts w:ascii="Times New Roman" w:hAnsi="Times New Roman" w:cs="Times New Roman"/>
          <w:sz w:val="24"/>
          <w:szCs w:val="24"/>
        </w:rPr>
        <w:t xml:space="preserve"> K. (2010). Stock market linkages – A cointegration approach. Dissertation at</w:t>
      </w:r>
      <w:r>
        <w:rPr>
          <w:rFonts w:ascii="Times New Roman" w:hAnsi="Times New Roman" w:cs="Times New Roman"/>
          <w:sz w:val="24"/>
          <w:szCs w:val="24"/>
        </w:rPr>
        <w:t xml:space="preserve"> </w:t>
      </w:r>
      <w:r w:rsidRPr="005D6820">
        <w:rPr>
          <w:rFonts w:ascii="Times New Roman" w:hAnsi="Times New Roman" w:cs="Times New Roman"/>
          <w:sz w:val="24"/>
          <w:szCs w:val="24"/>
        </w:rPr>
        <w:t>the University of Nottingham.</w:t>
      </w:r>
    </w:p>
    <w:p w14:paraId="3CBAD8CA" w14:textId="2DBCD79A"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Huang B. N., Yang C. &amp; Hu J. W. S. (2000). Causality and cointegration of stock markets among the United States, Japan and the South China Growth Triangle.</w:t>
      </w:r>
      <w:r w:rsidR="0090340E">
        <w:rPr>
          <w:rFonts w:ascii="Times New Roman" w:hAnsi="Times New Roman" w:cs="Times New Roman"/>
          <w:sz w:val="24"/>
          <w:szCs w:val="24"/>
        </w:rPr>
        <w:t xml:space="preserve"> </w:t>
      </w:r>
      <w:r w:rsidRPr="005D6820">
        <w:rPr>
          <w:rFonts w:ascii="Times New Roman" w:hAnsi="Times New Roman" w:cs="Times New Roman"/>
          <w:i/>
          <w:sz w:val="24"/>
          <w:szCs w:val="24"/>
        </w:rPr>
        <w:t>International Review of Financial Analysis</w:t>
      </w:r>
      <w:r w:rsidRPr="005D6820">
        <w:rPr>
          <w:rFonts w:ascii="Times New Roman" w:hAnsi="Times New Roman" w:cs="Times New Roman"/>
          <w:sz w:val="24"/>
          <w:szCs w:val="24"/>
        </w:rPr>
        <w:t>,</w:t>
      </w:r>
      <w:r w:rsidR="0090340E">
        <w:rPr>
          <w:rFonts w:ascii="Times New Roman" w:hAnsi="Times New Roman" w:cs="Times New Roman"/>
          <w:sz w:val="24"/>
          <w:szCs w:val="24"/>
        </w:rPr>
        <w:t xml:space="preserve"> </w:t>
      </w:r>
      <w:r w:rsidRPr="0090340E">
        <w:rPr>
          <w:rFonts w:ascii="Times New Roman" w:hAnsi="Times New Roman" w:cs="Times New Roman"/>
          <w:i/>
          <w:iCs/>
          <w:sz w:val="24"/>
          <w:szCs w:val="24"/>
        </w:rPr>
        <w:t>9</w:t>
      </w:r>
      <w:r w:rsidRPr="005D6820">
        <w:rPr>
          <w:rFonts w:ascii="Times New Roman" w:hAnsi="Times New Roman" w:cs="Times New Roman"/>
          <w:sz w:val="24"/>
          <w:szCs w:val="24"/>
        </w:rPr>
        <w:t>(3), 281-297.</w:t>
      </w:r>
    </w:p>
    <w:p w14:paraId="6D672B87" w14:textId="49CC1E20"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Hussain A, Lal I, </w:t>
      </w:r>
      <w:proofErr w:type="spellStart"/>
      <w:r w:rsidRPr="005D6820">
        <w:rPr>
          <w:rFonts w:ascii="Times New Roman" w:hAnsi="Times New Roman" w:cs="Times New Roman"/>
          <w:sz w:val="24"/>
          <w:szCs w:val="24"/>
        </w:rPr>
        <w:t>Mubin</w:t>
      </w:r>
      <w:proofErr w:type="spellEnd"/>
      <w:r w:rsidRPr="005D6820">
        <w:rPr>
          <w:rFonts w:ascii="Times New Roman" w:hAnsi="Times New Roman" w:cs="Times New Roman"/>
          <w:sz w:val="24"/>
          <w:szCs w:val="24"/>
        </w:rPr>
        <w:t xml:space="preserve"> M (2009). Short Run and Long Run Dynamics of Macroeconomics Variables and Stock prices: Case Study of KSE (Karachi Stock Exchange), </w:t>
      </w:r>
      <w:r w:rsidRPr="005D6820">
        <w:rPr>
          <w:rFonts w:ascii="Times New Roman" w:hAnsi="Times New Roman" w:cs="Times New Roman"/>
          <w:i/>
          <w:sz w:val="24"/>
          <w:szCs w:val="24"/>
        </w:rPr>
        <w:t>Kashmir Economic. Review</w:t>
      </w:r>
      <w:r w:rsidRPr="005D6820">
        <w:rPr>
          <w:rFonts w:ascii="Times New Roman" w:hAnsi="Times New Roman" w:cs="Times New Roman"/>
          <w:sz w:val="24"/>
          <w:szCs w:val="24"/>
        </w:rPr>
        <w:t xml:space="preserve">. </w:t>
      </w:r>
      <w:r w:rsidRPr="0090340E">
        <w:rPr>
          <w:rFonts w:ascii="Times New Roman" w:hAnsi="Times New Roman" w:cs="Times New Roman"/>
          <w:i/>
          <w:iCs/>
          <w:sz w:val="24"/>
          <w:szCs w:val="24"/>
        </w:rPr>
        <w:t>18</w:t>
      </w:r>
      <w:r w:rsidRPr="005D6820">
        <w:rPr>
          <w:rFonts w:ascii="Times New Roman" w:hAnsi="Times New Roman" w:cs="Times New Roman"/>
          <w:sz w:val="24"/>
          <w:szCs w:val="24"/>
        </w:rPr>
        <w:t>(1 &amp; 2):43-61.</w:t>
      </w:r>
    </w:p>
    <w:p w14:paraId="4EDB47C5" w14:textId="3C750771" w:rsidR="005D6820" w:rsidRPr="005D6820" w:rsidRDefault="005D6820" w:rsidP="00783C00">
      <w:pPr>
        <w:pStyle w:val="NoSpacing"/>
        <w:spacing w:after="240"/>
        <w:ind w:left="720" w:hanging="720"/>
        <w:jc w:val="both"/>
        <w:rPr>
          <w:rFonts w:ascii="Times New Roman" w:hAnsi="Times New Roman" w:cs="Times New Roman"/>
          <w:sz w:val="24"/>
          <w:szCs w:val="24"/>
        </w:rPr>
      </w:pPr>
      <w:proofErr w:type="spellStart"/>
      <w:r w:rsidRPr="005D6820">
        <w:rPr>
          <w:rFonts w:ascii="Times New Roman" w:hAnsi="Times New Roman" w:cs="Times New Roman"/>
          <w:sz w:val="24"/>
          <w:szCs w:val="24"/>
        </w:rPr>
        <w:t>Jebran</w:t>
      </w:r>
      <w:proofErr w:type="spellEnd"/>
      <w:r w:rsidRPr="005D6820">
        <w:rPr>
          <w:rFonts w:ascii="Times New Roman" w:hAnsi="Times New Roman" w:cs="Times New Roman"/>
          <w:sz w:val="24"/>
          <w:szCs w:val="24"/>
        </w:rPr>
        <w:t>, K. (2014). Dynamic linkages between Asian countries stock markets: Evidence</w:t>
      </w:r>
      <w:r>
        <w:rPr>
          <w:rFonts w:ascii="Times New Roman" w:hAnsi="Times New Roman" w:cs="Times New Roman"/>
          <w:sz w:val="24"/>
          <w:szCs w:val="24"/>
        </w:rPr>
        <w:t xml:space="preserve"> </w:t>
      </w:r>
      <w:r w:rsidRPr="005D6820">
        <w:rPr>
          <w:rFonts w:ascii="Times New Roman" w:hAnsi="Times New Roman" w:cs="Times New Roman"/>
          <w:sz w:val="24"/>
          <w:szCs w:val="24"/>
        </w:rPr>
        <w:t xml:space="preserve">from Karachi stock exchange, </w:t>
      </w:r>
      <w:r w:rsidRPr="005D6820">
        <w:rPr>
          <w:rFonts w:ascii="Times New Roman" w:hAnsi="Times New Roman" w:cs="Times New Roman"/>
          <w:i/>
          <w:sz w:val="24"/>
          <w:szCs w:val="24"/>
        </w:rPr>
        <w:t>Research Journal of Management Sciences</w:t>
      </w:r>
      <w:r w:rsidRPr="005D6820">
        <w:rPr>
          <w:rFonts w:ascii="Times New Roman" w:hAnsi="Times New Roman" w:cs="Times New Roman"/>
          <w:sz w:val="24"/>
          <w:szCs w:val="24"/>
        </w:rPr>
        <w:t xml:space="preserve">, </w:t>
      </w:r>
      <w:r w:rsidRPr="0090340E">
        <w:rPr>
          <w:rFonts w:ascii="Times New Roman" w:hAnsi="Times New Roman" w:cs="Times New Roman"/>
          <w:i/>
          <w:iCs/>
          <w:sz w:val="24"/>
          <w:szCs w:val="24"/>
        </w:rPr>
        <w:t>3</w:t>
      </w:r>
      <w:r w:rsidRPr="005D6820">
        <w:rPr>
          <w:rFonts w:ascii="Times New Roman" w:hAnsi="Times New Roman" w:cs="Times New Roman"/>
          <w:sz w:val="24"/>
          <w:szCs w:val="24"/>
        </w:rPr>
        <w:t>(5),</w:t>
      </w:r>
      <w:r>
        <w:rPr>
          <w:rFonts w:ascii="Times New Roman" w:hAnsi="Times New Roman" w:cs="Times New Roman"/>
          <w:sz w:val="24"/>
          <w:szCs w:val="24"/>
        </w:rPr>
        <w:t xml:space="preserve"> </w:t>
      </w:r>
      <w:r w:rsidRPr="005D6820">
        <w:rPr>
          <w:rFonts w:ascii="Times New Roman" w:hAnsi="Times New Roman" w:cs="Times New Roman"/>
          <w:sz w:val="24"/>
          <w:szCs w:val="24"/>
        </w:rPr>
        <w:t>6-13.</w:t>
      </w:r>
    </w:p>
    <w:p w14:paraId="1776185D" w14:textId="036060AD" w:rsidR="005D6820" w:rsidRPr="005D6820" w:rsidRDefault="005D6820" w:rsidP="00783C00">
      <w:pPr>
        <w:pStyle w:val="NoSpacing"/>
        <w:spacing w:after="240"/>
        <w:ind w:left="720" w:hanging="720"/>
        <w:jc w:val="both"/>
        <w:rPr>
          <w:rFonts w:ascii="Times New Roman" w:hAnsi="Times New Roman" w:cs="Times New Roman"/>
          <w:i/>
          <w:sz w:val="24"/>
          <w:szCs w:val="24"/>
        </w:rPr>
      </w:pPr>
      <w:r w:rsidRPr="005D6820">
        <w:rPr>
          <w:rFonts w:ascii="Times New Roman" w:hAnsi="Times New Roman" w:cs="Times New Roman"/>
          <w:sz w:val="24"/>
          <w:szCs w:val="24"/>
        </w:rPr>
        <w:t xml:space="preserve">Johansen S. (1988). Statistical Analysis of Cointegration Vectors, </w:t>
      </w:r>
      <w:r w:rsidRPr="005D6820">
        <w:rPr>
          <w:rFonts w:ascii="Times New Roman" w:hAnsi="Times New Roman" w:cs="Times New Roman"/>
          <w:i/>
          <w:sz w:val="24"/>
          <w:szCs w:val="24"/>
        </w:rPr>
        <w:t>Journal of Economic</w:t>
      </w:r>
      <w:r>
        <w:rPr>
          <w:rFonts w:ascii="Times New Roman" w:hAnsi="Times New Roman" w:cs="Times New Roman"/>
          <w:i/>
          <w:sz w:val="24"/>
          <w:szCs w:val="24"/>
        </w:rPr>
        <w:t xml:space="preserve"> </w:t>
      </w:r>
      <w:r w:rsidRPr="005D6820">
        <w:rPr>
          <w:rFonts w:ascii="Times New Roman" w:hAnsi="Times New Roman" w:cs="Times New Roman"/>
          <w:i/>
          <w:sz w:val="24"/>
          <w:szCs w:val="24"/>
        </w:rPr>
        <w:t xml:space="preserve">Dynamics and Control, </w:t>
      </w:r>
      <w:r w:rsidRPr="0090340E">
        <w:rPr>
          <w:rFonts w:ascii="Times New Roman" w:hAnsi="Times New Roman" w:cs="Times New Roman"/>
          <w:i/>
          <w:iCs/>
          <w:sz w:val="24"/>
          <w:szCs w:val="24"/>
        </w:rPr>
        <w:t>12</w:t>
      </w:r>
      <w:r w:rsidRPr="005D6820">
        <w:rPr>
          <w:rFonts w:ascii="Times New Roman" w:hAnsi="Times New Roman" w:cs="Times New Roman"/>
          <w:sz w:val="24"/>
          <w:szCs w:val="24"/>
        </w:rPr>
        <w:t>, 231-254.</w:t>
      </w:r>
    </w:p>
    <w:p w14:paraId="6F96E595" w14:textId="235B2B95" w:rsidR="005D6820" w:rsidRPr="005D6820" w:rsidRDefault="005D6820" w:rsidP="00783C00">
      <w:pPr>
        <w:pStyle w:val="NoSpacing"/>
        <w:spacing w:after="240"/>
        <w:ind w:left="720" w:hanging="720"/>
        <w:jc w:val="both"/>
        <w:rPr>
          <w:rFonts w:ascii="Times New Roman" w:hAnsi="Times New Roman" w:cs="Times New Roman"/>
          <w:i/>
          <w:sz w:val="24"/>
          <w:szCs w:val="24"/>
        </w:rPr>
      </w:pPr>
      <w:proofErr w:type="spellStart"/>
      <w:r w:rsidRPr="005D6820">
        <w:rPr>
          <w:rFonts w:ascii="Times New Roman" w:hAnsi="Times New Roman" w:cs="Times New Roman"/>
          <w:sz w:val="24"/>
          <w:szCs w:val="24"/>
        </w:rPr>
        <w:t>Kasa</w:t>
      </w:r>
      <w:proofErr w:type="spellEnd"/>
      <w:r w:rsidRPr="005D6820">
        <w:rPr>
          <w:rFonts w:ascii="Times New Roman" w:hAnsi="Times New Roman" w:cs="Times New Roman"/>
          <w:sz w:val="24"/>
          <w:szCs w:val="24"/>
        </w:rPr>
        <w:t xml:space="preserve">, K. (1992). Common Stochastic Trends in International Stock Markets, </w:t>
      </w:r>
      <w:r w:rsidRPr="005D6820">
        <w:rPr>
          <w:rFonts w:ascii="Times New Roman" w:hAnsi="Times New Roman" w:cs="Times New Roman"/>
          <w:i/>
          <w:sz w:val="24"/>
          <w:szCs w:val="24"/>
        </w:rPr>
        <w:t>Journal of Monetary Economics,</w:t>
      </w:r>
      <w:r w:rsidRPr="005D6820">
        <w:rPr>
          <w:rFonts w:ascii="Times New Roman" w:hAnsi="Times New Roman" w:cs="Times New Roman"/>
          <w:sz w:val="24"/>
          <w:szCs w:val="24"/>
        </w:rPr>
        <w:t xml:space="preserve"> 29, 95-124.</w:t>
      </w:r>
    </w:p>
    <w:p w14:paraId="4F9AF4CA" w14:textId="49647913"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Khan, T. A. (2011). Cointegration of international stock markets: An investigation of</w:t>
      </w:r>
      <w:r>
        <w:rPr>
          <w:rFonts w:ascii="Times New Roman" w:hAnsi="Times New Roman" w:cs="Times New Roman"/>
          <w:sz w:val="24"/>
          <w:szCs w:val="24"/>
        </w:rPr>
        <w:t xml:space="preserve"> </w:t>
      </w:r>
      <w:r w:rsidRPr="005D6820">
        <w:rPr>
          <w:rFonts w:ascii="Times New Roman" w:hAnsi="Times New Roman" w:cs="Times New Roman"/>
          <w:sz w:val="24"/>
          <w:szCs w:val="24"/>
        </w:rPr>
        <w:t>diversification opportunities.</w:t>
      </w:r>
      <w:r w:rsidR="0090340E">
        <w:rPr>
          <w:rFonts w:ascii="Times New Roman" w:hAnsi="Times New Roman" w:cs="Times New Roman"/>
          <w:sz w:val="24"/>
          <w:szCs w:val="24"/>
        </w:rPr>
        <w:t xml:space="preserve"> </w:t>
      </w:r>
      <w:r w:rsidRPr="005D6820">
        <w:rPr>
          <w:rFonts w:ascii="Times New Roman" w:hAnsi="Times New Roman" w:cs="Times New Roman"/>
          <w:i/>
          <w:sz w:val="24"/>
          <w:szCs w:val="24"/>
        </w:rPr>
        <w:t>Undergraduate Economic Review</w:t>
      </w:r>
      <w:r w:rsidRPr="005D6820">
        <w:rPr>
          <w:rFonts w:ascii="Times New Roman" w:hAnsi="Times New Roman" w:cs="Times New Roman"/>
          <w:sz w:val="24"/>
          <w:szCs w:val="24"/>
        </w:rPr>
        <w:t>,</w:t>
      </w:r>
      <w:r>
        <w:rPr>
          <w:rFonts w:ascii="Times New Roman" w:hAnsi="Times New Roman" w:cs="Times New Roman"/>
          <w:sz w:val="24"/>
          <w:szCs w:val="24"/>
        </w:rPr>
        <w:t xml:space="preserve"> </w:t>
      </w:r>
      <w:r w:rsidRPr="005657C8">
        <w:rPr>
          <w:rFonts w:ascii="Times New Roman" w:hAnsi="Times New Roman" w:cs="Times New Roman"/>
          <w:i/>
          <w:iCs/>
          <w:sz w:val="24"/>
          <w:szCs w:val="24"/>
        </w:rPr>
        <w:t>8</w:t>
      </w:r>
      <w:r w:rsidRPr="005D6820">
        <w:rPr>
          <w:rFonts w:ascii="Times New Roman" w:hAnsi="Times New Roman" w:cs="Times New Roman"/>
          <w:sz w:val="24"/>
          <w:szCs w:val="24"/>
        </w:rPr>
        <w:t xml:space="preserve">(1), </w:t>
      </w:r>
      <w:r w:rsidR="005657C8">
        <w:rPr>
          <w:rFonts w:ascii="Times New Roman" w:hAnsi="Times New Roman" w:cs="Times New Roman"/>
          <w:sz w:val="24"/>
          <w:szCs w:val="24"/>
        </w:rPr>
        <w:t>1-50</w:t>
      </w:r>
      <w:r w:rsidRPr="005D6820">
        <w:rPr>
          <w:rFonts w:ascii="Times New Roman" w:hAnsi="Times New Roman" w:cs="Times New Roman"/>
          <w:sz w:val="24"/>
          <w:szCs w:val="24"/>
        </w:rPr>
        <w:t>.</w:t>
      </w:r>
    </w:p>
    <w:p w14:paraId="440D4AD4" w14:textId="0DBC00AE"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Lal, I., Mubeen, M., Hussain, A., &amp; Zubair, M. (2016). An empirical analysis of higher moment capital asset pricing model for Karachi stock exchange (KSE). </w:t>
      </w:r>
      <w:r w:rsidRPr="005D6820">
        <w:rPr>
          <w:rFonts w:ascii="Times New Roman" w:hAnsi="Times New Roman" w:cs="Times New Roman"/>
          <w:i/>
          <w:sz w:val="24"/>
          <w:szCs w:val="24"/>
        </w:rPr>
        <w:t>Open Journal of Social Sciences</w:t>
      </w:r>
      <w:r w:rsidRPr="005657C8">
        <w:rPr>
          <w:rFonts w:ascii="Times New Roman" w:hAnsi="Times New Roman" w:cs="Times New Roman"/>
          <w:i/>
          <w:iCs/>
          <w:sz w:val="24"/>
          <w:szCs w:val="24"/>
        </w:rPr>
        <w:t>, 4</w:t>
      </w:r>
      <w:r w:rsidRPr="005657C8">
        <w:rPr>
          <w:rFonts w:ascii="Times New Roman" w:hAnsi="Times New Roman" w:cs="Times New Roman"/>
          <w:sz w:val="24"/>
          <w:szCs w:val="24"/>
        </w:rPr>
        <w:t>(</w:t>
      </w:r>
      <w:r w:rsidRPr="005D6820">
        <w:rPr>
          <w:rFonts w:ascii="Times New Roman" w:hAnsi="Times New Roman" w:cs="Times New Roman"/>
          <w:sz w:val="24"/>
          <w:szCs w:val="24"/>
        </w:rPr>
        <w:t>6), 53–60.</w:t>
      </w:r>
    </w:p>
    <w:p w14:paraId="2943FA6C" w14:textId="5B6C32A9"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Mansoor S., Mirza A. </w:t>
      </w:r>
      <w:proofErr w:type="spellStart"/>
      <w:r w:rsidRPr="005D6820">
        <w:rPr>
          <w:rFonts w:ascii="Times New Roman" w:hAnsi="Times New Roman" w:cs="Times New Roman"/>
          <w:sz w:val="24"/>
          <w:szCs w:val="24"/>
        </w:rPr>
        <w:t>Baig</w:t>
      </w:r>
      <w:proofErr w:type="spellEnd"/>
      <w:r w:rsidRPr="005D6820">
        <w:rPr>
          <w:rFonts w:ascii="Times New Roman" w:hAnsi="Times New Roman" w:cs="Times New Roman"/>
          <w:sz w:val="24"/>
          <w:szCs w:val="24"/>
        </w:rPr>
        <w:t>, Lal I. (2020). Can Pakistan Raise More External Debt?</w:t>
      </w:r>
      <w:r>
        <w:rPr>
          <w:rFonts w:ascii="Times New Roman" w:hAnsi="Times New Roman" w:cs="Times New Roman"/>
          <w:sz w:val="24"/>
          <w:szCs w:val="24"/>
        </w:rPr>
        <w:t xml:space="preserve"> </w:t>
      </w:r>
      <w:r w:rsidRPr="005D6820">
        <w:rPr>
          <w:rFonts w:ascii="Times New Roman" w:hAnsi="Times New Roman" w:cs="Times New Roman"/>
          <w:sz w:val="24"/>
          <w:szCs w:val="24"/>
        </w:rPr>
        <w:t xml:space="preserve">A Fiscal Reaction Approach, </w:t>
      </w:r>
      <w:r w:rsidRPr="005D6820">
        <w:rPr>
          <w:rFonts w:ascii="Times New Roman" w:hAnsi="Times New Roman" w:cs="Times New Roman"/>
          <w:i/>
          <w:sz w:val="24"/>
          <w:szCs w:val="24"/>
        </w:rPr>
        <w:t>Business &amp; Economic Review</w:t>
      </w:r>
      <w:r w:rsidRPr="005D6820">
        <w:rPr>
          <w:rFonts w:ascii="Times New Roman" w:hAnsi="Times New Roman" w:cs="Times New Roman"/>
          <w:sz w:val="24"/>
          <w:szCs w:val="24"/>
        </w:rPr>
        <w:t xml:space="preserve">, </w:t>
      </w:r>
      <w:r w:rsidRPr="00212956">
        <w:rPr>
          <w:rFonts w:ascii="Times New Roman" w:hAnsi="Times New Roman" w:cs="Times New Roman"/>
          <w:i/>
          <w:iCs/>
          <w:sz w:val="24"/>
          <w:szCs w:val="24"/>
        </w:rPr>
        <w:t>12</w:t>
      </w:r>
      <w:r w:rsidRPr="005D6820">
        <w:rPr>
          <w:rFonts w:ascii="Times New Roman" w:hAnsi="Times New Roman" w:cs="Times New Roman"/>
          <w:sz w:val="24"/>
          <w:szCs w:val="24"/>
        </w:rPr>
        <w:t xml:space="preserve"> (3)</w:t>
      </w:r>
      <w:r w:rsidR="00212956">
        <w:rPr>
          <w:rFonts w:ascii="Times New Roman" w:hAnsi="Times New Roman" w:cs="Times New Roman"/>
          <w:sz w:val="24"/>
          <w:szCs w:val="24"/>
        </w:rPr>
        <w:t>, 1-48.</w:t>
      </w:r>
    </w:p>
    <w:p w14:paraId="27ED1AEB" w14:textId="47C01A6D"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Masih A. M. &amp; Masih R. (1997). A comparative analysis of the propagation of stock market fluctuations in alternative models of dynamic causal linkages. </w:t>
      </w:r>
      <w:r w:rsidRPr="005D6820">
        <w:rPr>
          <w:rFonts w:ascii="Times New Roman" w:hAnsi="Times New Roman" w:cs="Times New Roman"/>
          <w:i/>
          <w:sz w:val="24"/>
          <w:szCs w:val="24"/>
        </w:rPr>
        <w:t>Applied Financial Economics</w:t>
      </w:r>
      <w:r w:rsidRPr="005D6820">
        <w:rPr>
          <w:rFonts w:ascii="Times New Roman" w:hAnsi="Times New Roman" w:cs="Times New Roman"/>
          <w:sz w:val="24"/>
          <w:szCs w:val="24"/>
        </w:rPr>
        <w:t>,</w:t>
      </w:r>
      <w:r w:rsidR="00212956">
        <w:rPr>
          <w:rFonts w:ascii="Times New Roman" w:hAnsi="Times New Roman" w:cs="Times New Roman"/>
          <w:sz w:val="24"/>
          <w:szCs w:val="24"/>
        </w:rPr>
        <w:t xml:space="preserve"> </w:t>
      </w:r>
      <w:r w:rsidRPr="00212956">
        <w:rPr>
          <w:rFonts w:ascii="Times New Roman" w:hAnsi="Times New Roman" w:cs="Times New Roman"/>
          <w:i/>
          <w:iCs/>
          <w:sz w:val="24"/>
          <w:szCs w:val="24"/>
        </w:rPr>
        <w:t>7</w:t>
      </w:r>
      <w:r w:rsidRPr="005D6820">
        <w:rPr>
          <w:rFonts w:ascii="Times New Roman" w:hAnsi="Times New Roman" w:cs="Times New Roman"/>
          <w:sz w:val="24"/>
          <w:szCs w:val="24"/>
        </w:rPr>
        <w:t>(1), 59-74.</w:t>
      </w:r>
    </w:p>
    <w:p w14:paraId="58CBEC30" w14:textId="524E3325"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Modi D., Ashwin G., Patel B. &amp; Patel N. (2010). The study on co-movement of selected stock markets. </w:t>
      </w:r>
      <w:r w:rsidRPr="005D6820">
        <w:rPr>
          <w:rFonts w:ascii="Times New Roman" w:hAnsi="Times New Roman" w:cs="Times New Roman"/>
          <w:i/>
          <w:sz w:val="24"/>
          <w:szCs w:val="24"/>
        </w:rPr>
        <w:t>International Research Journal of Finance and Economics</w:t>
      </w:r>
      <w:r w:rsidRPr="005D6820">
        <w:rPr>
          <w:rFonts w:ascii="Times New Roman" w:hAnsi="Times New Roman" w:cs="Times New Roman"/>
          <w:sz w:val="24"/>
          <w:szCs w:val="24"/>
        </w:rPr>
        <w:t xml:space="preserve">, </w:t>
      </w:r>
      <w:r w:rsidRPr="00212956">
        <w:rPr>
          <w:rFonts w:ascii="Times New Roman" w:hAnsi="Times New Roman" w:cs="Times New Roman"/>
          <w:i/>
          <w:iCs/>
          <w:sz w:val="24"/>
          <w:szCs w:val="24"/>
        </w:rPr>
        <w:t>47</w:t>
      </w:r>
      <w:r w:rsidRPr="005D6820">
        <w:rPr>
          <w:rFonts w:ascii="Times New Roman" w:hAnsi="Times New Roman" w:cs="Times New Roman"/>
          <w:sz w:val="24"/>
          <w:szCs w:val="24"/>
        </w:rPr>
        <w:t>,</w:t>
      </w:r>
      <w:r>
        <w:rPr>
          <w:rFonts w:ascii="Times New Roman" w:hAnsi="Times New Roman" w:cs="Times New Roman"/>
          <w:sz w:val="24"/>
          <w:szCs w:val="24"/>
        </w:rPr>
        <w:t xml:space="preserve"> </w:t>
      </w:r>
      <w:r w:rsidRPr="005D6820">
        <w:rPr>
          <w:rFonts w:ascii="Times New Roman" w:hAnsi="Times New Roman" w:cs="Times New Roman"/>
          <w:sz w:val="24"/>
          <w:szCs w:val="24"/>
        </w:rPr>
        <w:t>170–185.</w:t>
      </w:r>
    </w:p>
    <w:p w14:paraId="19142DE8" w14:textId="40412FEC"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Milionis Α., </w:t>
      </w:r>
      <w:proofErr w:type="spellStart"/>
      <w:r w:rsidRPr="005D6820">
        <w:rPr>
          <w:rFonts w:ascii="Times New Roman" w:hAnsi="Times New Roman" w:cs="Times New Roman"/>
          <w:sz w:val="24"/>
          <w:szCs w:val="24"/>
        </w:rPr>
        <w:t>Moschos</w:t>
      </w:r>
      <w:proofErr w:type="spellEnd"/>
      <w:r w:rsidRPr="005D6820">
        <w:rPr>
          <w:rFonts w:ascii="Times New Roman" w:hAnsi="Times New Roman" w:cs="Times New Roman"/>
          <w:sz w:val="24"/>
          <w:szCs w:val="24"/>
        </w:rPr>
        <w:t xml:space="preserve"> D. &amp; </w:t>
      </w:r>
      <w:proofErr w:type="spellStart"/>
      <w:r w:rsidRPr="005D6820">
        <w:rPr>
          <w:rFonts w:ascii="Times New Roman" w:hAnsi="Times New Roman" w:cs="Times New Roman"/>
          <w:sz w:val="24"/>
          <w:szCs w:val="24"/>
        </w:rPr>
        <w:t>Xanthakis</w:t>
      </w:r>
      <w:proofErr w:type="spellEnd"/>
      <w:r w:rsidRPr="005D6820">
        <w:rPr>
          <w:rFonts w:ascii="Times New Roman" w:hAnsi="Times New Roman" w:cs="Times New Roman"/>
          <w:sz w:val="24"/>
          <w:szCs w:val="24"/>
        </w:rPr>
        <w:t xml:space="preserve"> Μ. (1998). The influence of foreign markets on the </w:t>
      </w:r>
      <w:proofErr w:type="spellStart"/>
      <w:r w:rsidRPr="005D6820">
        <w:rPr>
          <w:rFonts w:ascii="Times New Roman" w:hAnsi="Times New Roman" w:cs="Times New Roman"/>
          <w:sz w:val="24"/>
          <w:szCs w:val="24"/>
        </w:rPr>
        <w:t>thens</w:t>
      </w:r>
      <w:proofErr w:type="spellEnd"/>
      <w:r w:rsidRPr="005D6820">
        <w:rPr>
          <w:rFonts w:ascii="Times New Roman" w:hAnsi="Times New Roman" w:cs="Times New Roman"/>
          <w:sz w:val="24"/>
          <w:szCs w:val="24"/>
        </w:rPr>
        <w:t xml:space="preserve"> Stock Exchange.</w:t>
      </w:r>
      <w:r w:rsidR="00212956">
        <w:rPr>
          <w:rFonts w:ascii="Times New Roman" w:hAnsi="Times New Roman" w:cs="Times New Roman"/>
          <w:sz w:val="24"/>
          <w:szCs w:val="24"/>
        </w:rPr>
        <w:t xml:space="preserve"> </w:t>
      </w:r>
      <w:r w:rsidRPr="005D6820">
        <w:rPr>
          <w:rFonts w:ascii="Times New Roman" w:hAnsi="Times New Roman" w:cs="Times New Roman"/>
          <w:sz w:val="24"/>
          <w:szCs w:val="24"/>
        </w:rPr>
        <w:t>SPOUDAI-</w:t>
      </w:r>
      <w:r w:rsidRPr="005D6820">
        <w:rPr>
          <w:rFonts w:ascii="Times New Roman" w:hAnsi="Times New Roman" w:cs="Times New Roman"/>
          <w:i/>
          <w:sz w:val="24"/>
          <w:szCs w:val="24"/>
        </w:rPr>
        <w:t>Journal of Economics and Business</w:t>
      </w:r>
      <w:r w:rsidRPr="005D6820">
        <w:rPr>
          <w:rFonts w:ascii="Times New Roman" w:hAnsi="Times New Roman" w:cs="Times New Roman"/>
          <w:sz w:val="24"/>
          <w:szCs w:val="24"/>
        </w:rPr>
        <w:t>,</w:t>
      </w:r>
      <w:r w:rsidR="00212956">
        <w:rPr>
          <w:rFonts w:ascii="Times New Roman" w:hAnsi="Times New Roman" w:cs="Times New Roman"/>
          <w:sz w:val="24"/>
          <w:szCs w:val="24"/>
        </w:rPr>
        <w:t xml:space="preserve"> </w:t>
      </w:r>
      <w:r w:rsidRPr="00212956">
        <w:rPr>
          <w:rFonts w:ascii="Times New Roman" w:hAnsi="Times New Roman" w:cs="Times New Roman"/>
          <w:i/>
          <w:iCs/>
          <w:sz w:val="24"/>
          <w:szCs w:val="24"/>
        </w:rPr>
        <w:t>48</w:t>
      </w:r>
      <w:r w:rsidRPr="005D6820">
        <w:rPr>
          <w:rFonts w:ascii="Times New Roman" w:hAnsi="Times New Roman" w:cs="Times New Roman"/>
          <w:sz w:val="24"/>
          <w:szCs w:val="24"/>
        </w:rPr>
        <w:t>(1-4), 140-156.</w:t>
      </w:r>
    </w:p>
    <w:p w14:paraId="288B8B10" w14:textId="2E994B29"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Mirza A. </w:t>
      </w:r>
      <w:proofErr w:type="spellStart"/>
      <w:r w:rsidRPr="005D6820">
        <w:rPr>
          <w:rFonts w:ascii="Times New Roman" w:hAnsi="Times New Roman" w:cs="Times New Roman"/>
          <w:sz w:val="24"/>
          <w:szCs w:val="24"/>
        </w:rPr>
        <w:t>Baig</w:t>
      </w:r>
      <w:proofErr w:type="spellEnd"/>
      <w:r w:rsidRPr="005D6820">
        <w:rPr>
          <w:rFonts w:ascii="Times New Roman" w:hAnsi="Times New Roman" w:cs="Times New Roman"/>
          <w:sz w:val="24"/>
          <w:szCs w:val="24"/>
        </w:rPr>
        <w:t>. (2014). Market Concentration in Pakistan’s Manufacturing, Financial and Services Sectors, Pakistan</w:t>
      </w:r>
      <w:r w:rsidRPr="005D6820">
        <w:rPr>
          <w:rFonts w:ascii="Times New Roman" w:hAnsi="Times New Roman" w:cs="Times New Roman"/>
          <w:i/>
          <w:sz w:val="24"/>
          <w:szCs w:val="24"/>
        </w:rPr>
        <w:t xml:space="preserve"> Business Review,</w:t>
      </w:r>
      <w:r w:rsidRPr="005D6820">
        <w:rPr>
          <w:rFonts w:ascii="Times New Roman" w:hAnsi="Times New Roman" w:cs="Times New Roman"/>
          <w:sz w:val="24"/>
          <w:szCs w:val="24"/>
        </w:rPr>
        <w:t xml:space="preserve"> </w:t>
      </w:r>
      <w:r w:rsidRPr="00212956">
        <w:rPr>
          <w:rFonts w:ascii="Times New Roman" w:hAnsi="Times New Roman" w:cs="Times New Roman"/>
          <w:i/>
          <w:iCs/>
          <w:sz w:val="24"/>
          <w:szCs w:val="24"/>
        </w:rPr>
        <w:t>16</w:t>
      </w:r>
      <w:r w:rsidRPr="005D6820">
        <w:rPr>
          <w:rFonts w:ascii="Times New Roman" w:hAnsi="Times New Roman" w:cs="Times New Roman"/>
          <w:sz w:val="24"/>
          <w:szCs w:val="24"/>
        </w:rPr>
        <w:t>(4)</w:t>
      </w:r>
    </w:p>
    <w:p w14:paraId="5C1D273F" w14:textId="5AFA0F35"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Mirza A. </w:t>
      </w:r>
      <w:proofErr w:type="spellStart"/>
      <w:r w:rsidRPr="005D6820">
        <w:rPr>
          <w:rFonts w:ascii="Times New Roman" w:hAnsi="Times New Roman" w:cs="Times New Roman"/>
          <w:sz w:val="24"/>
          <w:szCs w:val="24"/>
        </w:rPr>
        <w:t>Baig</w:t>
      </w:r>
      <w:proofErr w:type="spellEnd"/>
      <w:r w:rsidRPr="005D6820">
        <w:rPr>
          <w:rFonts w:ascii="Times New Roman" w:hAnsi="Times New Roman" w:cs="Times New Roman"/>
          <w:sz w:val="24"/>
          <w:szCs w:val="24"/>
        </w:rPr>
        <w:t xml:space="preserve">, </w:t>
      </w:r>
      <w:proofErr w:type="spellStart"/>
      <w:r w:rsidRPr="005D6820">
        <w:rPr>
          <w:rFonts w:ascii="Times New Roman" w:hAnsi="Times New Roman" w:cs="Times New Roman"/>
          <w:sz w:val="24"/>
          <w:szCs w:val="24"/>
        </w:rPr>
        <w:t>Wizarat</w:t>
      </w:r>
      <w:proofErr w:type="spellEnd"/>
      <w:r w:rsidRPr="005D6820">
        <w:rPr>
          <w:rFonts w:ascii="Times New Roman" w:hAnsi="Times New Roman" w:cs="Times New Roman"/>
          <w:sz w:val="24"/>
          <w:szCs w:val="24"/>
        </w:rPr>
        <w:t xml:space="preserve"> S., Iqbal J. (2020). How Pakistani Industries Respond to Local and</w:t>
      </w:r>
      <w:r>
        <w:rPr>
          <w:rFonts w:ascii="Times New Roman" w:hAnsi="Times New Roman" w:cs="Times New Roman"/>
          <w:sz w:val="24"/>
          <w:szCs w:val="24"/>
        </w:rPr>
        <w:t xml:space="preserve"> </w:t>
      </w:r>
      <w:r w:rsidRPr="005D6820">
        <w:rPr>
          <w:rFonts w:ascii="Times New Roman" w:hAnsi="Times New Roman" w:cs="Times New Roman"/>
          <w:sz w:val="24"/>
          <w:szCs w:val="24"/>
        </w:rPr>
        <w:t xml:space="preserve">Global Business Cycles, </w:t>
      </w:r>
      <w:r w:rsidRPr="005D6820">
        <w:rPr>
          <w:rFonts w:ascii="Times New Roman" w:hAnsi="Times New Roman" w:cs="Times New Roman"/>
          <w:i/>
          <w:sz w:val="24"/>
          <w:szCs w:val="24"/>
        </w:rPr>
        <w:t>Asian Economic and Financial Review</w:t>
      </w:r>
      <w:r w:rsidRPr="005D6820">
        <w:rPr>
          <w:rFonts w:ascii="Times New Roman" w:hAnsi="Times New Roman" w:cs="Times New Roman"/>
          <w:sz w:val="24"/>
          <w:szCs w:val="24"/>
        </w:rPr>
        <w:t xml:space="preserve">, </w:t>
      </w:r>
      <w:r w:rsidRPr="00212956">
        <w:rPr>
          <w:rFonts w:ascii="Times New Roman" w:hAnsi="Times New Roman" w:cs="Times New Roman"/>
          <w:i/>
          <w:iCs/>
          <w:sz w:val="24"/>
          <w:szCs w:val="24"/>
        </w:rPr>
        <w:t>10</w:t>
      </w:r>
      <w:r w:rsidRPr="005D6820">
        <w:rPr>
          <w:rFonts w:ascii="Times New Roman" w:hAnsi="Times New Roman" w:cs="Times New Roman"/>
          <w:sz w:val="24"/>
          <w:szCs w:val="24"/>
        </w:rPr>
        <w:t>(12).</w:t>
      </w:r>
    </w:p>
    <w:p w14:paraId="5BAF481D" w14:textId="73A56009"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Pretorius E. (2002). Economic determinants of emerging stock market interdependence.</w:t>
      </w:r>
      <w:r>
        <w:rPr>
          <w:rFonts w:ascii="Times New Roman" w:hAnsi="Times New Roman" w:cs="Times New Roman"/>
          <w:sz w:val="24"/>
          <w:szCs w:val="24"/>
        </w:rPr>
        <w:t xml:space="preserve"> </w:t>
      </w:r>
      <w:r w:rsidRPr="005D6820">
        <w:rPr>
          <w:rFonts w:ascii="Times New Roman" w:hAnsi="Times New Roman" w:cs="Times New Roman"/>
          <w:sz w:val="24"/>
          <w:szCs w:val="24"/>
        </w:rPr>
        <w:t>Emerging Markets Review,</w:t>
      </w:r>
      <w:r w:rsidR="00212956">
        <w:rPr>
          <w:rFonts w:ascii="Times New Roman" w:hAnsi="Times New Roman" w:cs="Times New Roman"/>
          <w:sz w:val="24"/>
          <w:szCs w:val="24"/>
        </w:rPr>
        <w:t xml:space="preserve"> </w:t>
      </w:r>
      <w:r w:rsidRPr="00212956">
        <w:rPr>
          <w:rFonts w:ascii="Times New Roman" w:hAnsi="Times New Roman" w:cs="Times New Roman"/>
          <w:i/>
          <w:iCs/>
          <w:sz w:val="24"/>
          <w:szCs w:val="24"/>
        </w:rPr>
        <w:t>3</w:t>
      </w:r>
      <w:r w:rsidRPr="005D6820">
        <w:rPr>
          <w:rFonts w:ascii="Times New Roman" w:hAnsi="Times New Roman" w:cs="Times New Roman"/>
          <w:sz w:val="24"/>
          <w:szCs w:val="24"/>
        </w:rPr>
        <w:t>(1), 84-105.</w:t>
      </w:r>
    </w:p>
    <w:p w14:paraId="76B25BD3" w14:textId="16EA9C64"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Richards A. J. (1995). </w:t>
      </w:r>
      <w:proofErr w:type="spellStart"/>
      <w:r w:rsidRPr="005D6820">
        <w:rPr>
          <w:rFonts w:ascii="Times New Roman" w:hAnsi="Times New Roman" w:cs="Times New Roman"/>
          <w:sz w:val="24"/>
          <w:szCs w:val="24"/>
        </w:rPr>
        <w:t>Comovements</w:t>
      </w:r>
      <w:proofErr w:type="spellEnd"/>
      <w:r w:rsidRPr="005D6820">
        <w:rPr>
          <w:rFonts w:ascii="Times New Roman" w:hAnsi="Times New Roman" w:cs="Times New Roman"/>
          <w:sz w:val="24"/>
          <w:szCs w:val="24"/>
        </w:rPr>
        <w:t xml:space="preserve"> in national stock market returns: Evidence of predictability, but not cointegration. </w:t>
      </w:r>
      <w:r w:rsidRPr="005D6820">
        <w:rPr>
          <w:rFonts w:ascii="Times New Roman" w:hAnsi="Times New Roman" w:cs="Times New Roman"/>
          <w:i/>
          <w:sz w:val="24"/>
          <w:szCs w:val="24"/>
        </w:rPr>
        <w:t>Journal of monetary Economics</w:t>
      </w:r>
      <w:r w:rsidRPr="005D6820">
        <w:rPr>
          <w:rFonts w:ascii="Times New Roman" w:hAnsi="Times New Roman" w:cs="Times New Roman"/>
          <w:sz w:val="24"/>
          <w:szCs w:val="24"/>
        </w:rPr>
        <w:t>,</w:t>
      </w:r>
      <w:r>
        <w:rPr>
          <w:rFonts w:ascii="Times New Roman" w:hAnsi="Times New Roman" w:cs="Times New Roman"/>
          <w:sz w:val="24"/>
          <w:szCs w:val="24"/>
        </w:rPr>
        <w:t xml:space="preserve"> </w:t>
      </w:r>
      <w:r w:rsidRPr="00212956">
        <w:rPr>
          <w:rFonts w:ascii="Times New Roman" w:hAnsi="Times New Roman" w:cs="Times New Roman"/>
          <w:i/>
          <w:iCs/>
          <w:sz w:val="24"/>
          <w:szCs w:val="24"/>
        </w:rPr>
        <w:t>36</w:t>
      </w:r>
      <w:r w:rsidRPr="005D6820">
        <w:rPr>
          <w:rFonts w:ascii="Times New Roman" w:hAnsi="Times New Roman" w:cs="Times New Roman"/>
          <w:sz w:val="24"/>
          <w:szCs w:val="24"/>
        </w:rPr>
        <w:t>(3), 631-654.</w:t>
      </w:r>
    </w:p>
    <w:p w14:paraId="2E0D788F" w14:textId="71996112" w:rsidR="005D6820" w:rsidRPr="005D6820" w:rsidRDefault="005D6820" w:rsidP="00783C00">
      <w:pPr>
        <w:pStyle w:val="NoSpacing"/>
        <w:spacing w:after="240"/>
        <w:ind w:left="720" w:hanging="720"/>
        <w:jc w:val="both"/>
        <w:rPr>
          <w:rFonts w:ascii="Times New Roman" w:hAnsi="Times New Roman" w:cs="Times New Roman"/>
          <w:sz w:val="24"/>
          <w:szCs w:val="24"/>
        </w:rPr>
      </w:pPr>
      <w:proofErr w:type="spellStart"/>
      <w:r w:rsidRPr="005D6820">
        <w:rPr>
          <w:rFonts w:ascii="Times New Roman" w:hAnsi="Times New Roman" w:cs="Times New Roman"/>
          <w:sz w:val="24"/>
          <w:szCs w:val="24"/>
        </w:rPr>
        <w:t>Voronkova</w:t>
      </w:r>
      <w:proofErr w:type="spellEnd"/>
      <w:r w:rsidRPr="005D6820">
        <w:rPr>
          <w:rFonts w:ascii="Times New Roman" w:hAnsi="Times New Roman" w:cs="Times New Roman"/>
          <w:sz w:val="24"/>
          <w:szCs w:val="24"/>
        </w:rPr>
        <w:t xml:space="preserve"> S. (2004). Equity Market Integration in Central European Emerging Markets: A Cointegration Analysis with Shifting Regimes</w:t>
      </w:r>
      <w:r w:rsidRPr="005D6820">
        <w:rPr>
          <w:rFonts w:ascii="Times New Roman" w:hAnsi="Times New Roman" w:cs="Times New Roman"/>
          <w:i/>
          <w:sz w:val="24"/>
          <w:szCs w:val="24"/>
        </w:rPr>
        <w:t>, International Review of Financial Analysis,</w:t>
      </w:r>
      <w:r w:rsidRPr="005D6820">
        <w:rPr>
          <w:rFonts w:ascii="Times New Roman" w:hAnsi="Times New Roman" w:cs="Times New Roman"/>
          <w:sz w:val="24"/>
          <w:szCs w:val="24"/>
        </w:rPr>
        <w:t xml:space="preserve"> </w:t>
      </w:r>
      <w:r w:rsidRPr="00212956">
        <w:rPr>
          <w:rFonts w:ascii="Times New Roman" w:hAnsi="Times New Roman" w:cs="Times New Roman"/>
          <w:i/>
          <w:iCs/>
          <w:sz w:val="24"/>
          <w:szCs w:val="24"/>
        </w:rPr>
        <w:t>13</w:t>
      </w:r>
      <w:r w:rsidRPr="005D6820">
        <w:rPr>
          <w:rFonts w:ascii="Times New Roman" w:hAnsi="Times New Roman" w:cs="Times New Roman"/>
          <w:sz w:val="24"/>
          <w:szCs w:val="24"/>
        </w:rPr>
        <w:t>, 633-647.</w:t>
      </w:r>
    </w:p>
    <w:p w14:paraId="4ABD8BAB" w14:textId="6C08282E"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Wong W., </w:t>
      </w:r>
      <w:proofErr w:type="spellStart"/>
      <w:r w:rsidRPr="005D6820">
        <w:rPr>
          <w:rFonts w:ascii="Times New Roman" w:hAnsi="Times New Roman" w:cs="Times New Roman"/>
          <w:sz w:val="24"/>
          <w:szCs w:val="24"/>
        </w:rPr>
        <w:t>Penm</w:t>
      </w:r>
      <w:proofErr w:type="spellEnd"/>
      <w:r w:rsidRPr="005D6820">
        <w:rPr>
          <w:rFonts w:ascii="Times New Roman" w:hAnsi="Times New Roman" w:cs="Times New Roman"/>
          <w:sz w:val="24"/>
          <w:szCs w:val="24"/>
        </w:rPr>
        <w:t xml:space="preserve"> J., Terrell and Lim K. (2004). The Relationship Between Stock Markets of Major Developed Countries and Asian Emerging Markets, </w:t>
      </w:r>
      <w:r w:rsidRPr="005D6820">
        <w:rPr>
          <w:rFonts w:ascii="Times New Roman" w:hAnsi="Times New Roman" w:cs="Times New Roman"/>
          <w:i/>
          <w:sz w:val="24"/>
          <w:szCs w:val="24"/>
        </w:rPr>
        <w:t>Journal of Applied Mathematics and Decision Sciences,</w:t>
      </w:r>
      <w:r w:rsidRPr="005D6820">
        <w:rPr>
          <w:rFonts w:ascii="Times New Roman" w:hAnsi="Times New Roman" w:cs="Times New Roman"/>
          <w:sz w:val="24"/>
          <w:szCs w:val="24"/>
        </w:rPr>
        <w:t xml:space="preserve"> </w:t>
      </w:r>
      <w:r w:rsidRPr="00212956">
        <w:rPr>
          <w:rFonts w:ascii="Times New Roman" w:hAnsi="Times New Roman" w:cs="Times New Roman"/>
          <w:i/>
          <w:iCs/>
          <w:sz w:val="24"/>
          <w:szCs w:val="24"/>
        </w:rPr>
        <w:t>8</w:t>
      </w:r>
      <w:r w:rsidRPr="005D6820">
        <w:rPr>
          <w:rFonts w:ascii="Times New Roman" w:hAnsi="Times New Roman" w:cs="Times New Roman"/>
          <w:sz w:val="24"/>
          <w:szCs w:val="24"/>
        </w:rPr>
        <w:t>, 201-218.</w:t>
      </w:r>
    </w:p>
    <w:p w14:paraId="590D06E3" w14:textId="156E12D8"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 xml:space="preserve">Yang C., Chen Y., </w:t>
      </w:r>
      <w:proofErr w:type="spellStart"/>
      <w:r w:rsidRPr="005D6820">
        <w:rPr>
          <w:rFonts w:ascii="Times New Roman" w:hAnsi="Times New Roman" w:cs="Times New Roman"/>
          <w:sz w:val="24"/>
          <w:szCs w:val="24"/>
        </w:rPr>
        <w:t>Niu</w:t>
      </w:r>
      <w:proofErr w:type="spellEnd"/>
      <w:r w:rsidRPr="005D6820">
        <w:rPr>
          <w:rFonts w:ascii="Times New Roman" w:hAnsi="Times New Roman" w:cs="Times New Roman"/>
          <w:sz w:val="24"/>
          <w:szCs w:val="24"/>
        </w:rPr>
        <w:t xml:space="preserve"> L., &amp; Li Q. (2014). Cointegration analysis and influence rank—A network approach to global stock markets,</w:t>
      </w:r>
      <w:r w:rsidR="00212956">
        <w:rPr>
          <w:rFonts w:ascii="Times New Roman" w:hAnsi="Times New Roman" w:cs="Times New Roman"/>
          <w:sz w:val="24"/>
          <w:szCs w:val="24"/>
        </w:rPr>
        <w:t xml:space="preserve"> </w:t>
      </w:r>
      <w:proofErr w:type="spellStart"/>
      <w:r w:rsidRPr="005D6820">
        <w:rPr>
          <w:rFonts w:ascii="Times New Roman" w:hAnsi="Times New Roman" w:cs="Times New Roman"/>
          <w:i/>
          <w:sz w:val="24"/>
          <w:szCs w:val="24"/>
        </w:rPr>
        <w:t>Physica</w:t>
      </w:r>
      <w:proofErr w:type="spellEnd"/>
      <w:r w:rsidRPr="005D6820">
        <w:rPr>
          <w:rFonts w:ascii="Times New Roman" w:hAnsi="Times New Roman" w:cs="Times New Roman"/>
          <w:i/>
          <w:sz w:val="24"/>
          <w:szCs w:val="24"/>
        </w:rPr>
        <w:t xml:space="preserve"> A: Statistical Mechanics and its </w:t>
      </w:r>
      <w:r w:rsidRPr="00212956">
        <w:rPr>
          <w:rFonts w:ascii="Times New Roman" w:hAnsi="Times New Roman" w:cs="Times New Roman"/>
          <w:i/>
          <w:sz w:val="24"/>
          <w:szCs w:val="24"/>
        </w:rPr>
        <w:t>Applications,</w:t>
      </w:r>
      <w:r w:rsidR="00212956" w:rsidRPr="00212956">
        <w:rPr>
          <w:rFonts w:ascii="Times New Roman" w:hAnsi="Times New Roman" w:cs="Times New Roman"/>
          <w:i/>
          <w:sz w:val="24"/>
          <w:szCs w:val="24"/>
        </w:rPr>
        <w:t xml:space="preserve"> </w:t>
      </w:r>
      <w:r w:rsidRPr="00212956">
        <w:rPr>
          <w:rFonts w:ascii="Times New Roman" w:hAnsi="Times New Roman" w:cs="Times New Roman"/>
          <w:i/>
          <w:sz w:val="24"/>
          <w:szCs w:val="24"/>
        </w:rPr>
        <w:t>400</w:t>
      </w:r>
      <w:r w:rsidRPr="005D6820">
        <w:rPr>
          <w:rFonts w:ascii="Times New Roman" w:hAnsi="Times New Roman" w:cs="Times New Roman"/>
          <w:sz w:val="24"/>
          <w:szCs w:val="24"/>
        </w:rPr>
        <w:t>, 168-185.</w:t>
      </w:r>
    </w:p>
    <w:p w14:paraId="1F19D560" w14:textId="0913E384" w:rsidR="005D6820" w:rsidRPr="005D6820" w:rsidRDefault="005D6820" w:rsidP="00783C00">
      <w:pPr>
        <w:pStyle w:val="NoSpacing"/>
        <w:spacing w:after="240"/>
        <w:ind w:left="720" w:hanging="720"/>
        <w:jc w:val="both"/>
        <w:rPr>
          <w:rFonts w:ascii="Times New Roman" w:hAnsi="Times New Roman" w:cs="Times New Roman"/>
          <w:sz w:val="24"/>
          <w:szCs w:val="24"/>
        </w:rPr>
      </w:pPr>
      <w:r w:rsidRPr="005D6820">
        <w:rPr>
          <w:rFonts w:ascii="Times New Roman" w:hAnsi="Times New Roman" w:cs="Times New Roman"/>
          <w:sz w:val="24"/>
          <w:szCs w:val="24"/>
        </w:rPr>
        <w:t>Yang J., Kolari J., and Min I. (2003): Stock Market Integration and Financial Crises. The</w:t>
      </w:r>
      <w:r w:rsidR="00212956">
        <w:rPr>
          <w:rFonts w:ascii="Times New Roman" w:hAnsi="Times New Roman" w:cs="Times New Roman"/>
          <w:sz w:val="24"/>
          <w:szCs w:val="24"/>
        </w:rPr>
        <w:t xml:space="preserve"> </w:t>
      </w:r>
      <w:r w:rsidRPr="005D6820">
        <w:rPr>
          <w:rFonts w:ascii="Times New Roman" w:hAnsi="Times New Roman" w:cs="Times New Roman"/>
          <w:sz w:val="24"/>
          <w:szCs w:val="24"/>
        </w:rPr>
        <w:t xml:space="preserve">Case of Asia, </w:t>
      </w:r>
      <w:r w:rsidRPr="005D6820">
        <w:rPr>
          <w:rFonts w:ascii="Times New Roman" w:hAnsi="Times New Roman" w:cs="Times New Roman"/>
          <w:i/>
          <w:sz w:val="24"/>
          <w:szCs w:val="24"/>
        </w:rPr>
        <w:t>Applied Financial Economics,</w:t>
      </w:r>
      <w:r w:rsidRPr="005D6820">
        <w:rPr>
          <w:rFonts w:ascii="Times New Roman" w:hAnsi="Times New Roman" w:cs="Times New Roman"/>
          <w:sz w:val="24"/>
          <w:szCs w:val="24"/>
        </w:rPr>
        <w:t xml:space="preserve"> </w:t>
      </w:r>
      <w:r w:rsidRPr="00212956">
        <w:rPr>
          <w:rFonts w:ascii="Times New Roman" w:hAnsi="Times New Roman" w:cs="Times New Roman"/>
          <w:i/>
          <w:iCs/>
          <w:sz w:val="24"/>
          <w:szCs w:val="24"/>
        </w:rPr>
        <w:t>13</w:t>
      </w:r>
      <w:r w:rsidRPr="005D6820">
        <w:rPr>
          <w:rFonts w:ascii="Times New Roman" w:hAnsi="Times New Roman" w:cs="Times New Roman"/>
          <w:sz w:val="24"/>
          <w:szCs w:val="24"/>
        </w:rPr>
        <w:t>, 477-486.</w:t>
      </w:r>
    </w:p>
    <w:bookmarkEnd w:id="24"/>
    <w:p w14:paraId="3DEB87B6" w14:textId="77777777" w:rsidR="005D6820" w:rsidRPr="005D6820" w:rsidRDefault="005D6820" w:rsidP="00783C00">
      <w:pPr>
        <w:spacing w:after="240"/>
        <w:ind w:left="720" w:hanging="720"/>
        <w:jc w:val="both"/>
        <w:rPr>
          <w:rFonts w:cs="Times New Roman"/>
          <w:szCs w:val="24"/>
          <w:lang w:val="en-GB"/>
        </w:rPr>
      </w:pPr>
    </w:p>
    <w:sectPr w:rsidR="005D6820" w:rsidRPr="005D6820" w:rsidSect="00C2473C">
      <w:headerReference w:type="even" r:id="rId17"/>
      <w:headerReference w:type="default" r:id="rId18"/>
      <w:footerReference w:type="even" r:id="rId19"/>
      <w:footerReference w:type="default" r:id="rId20"/>
      <w:headerReference w:type="first" r:id="rId21"/>
      <w:pgSz w:w="9792" w:h="13824"/>
      <w:pgMar w:top="1530" w:right="1440" w:bottom="1080" w:left="2070" w:header="720" w:footer="720" w:gutter="0"/>
      <w:pgNumType w:start="23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6F53" w14:textId="77777777" w:rsidR="00F96467" w:rsidRDefault="00F96467" w:rsidP="001645F3">
      <w:pPr>
        <w:spacing w:after="0" w:line="240" w:lineRule="auto"/>
      </w:pPr>
      <w:r>
        <w:separator/>
      </w:r>
    </w:p>
  </w:endnote>
  <w:endnote w:type="continuationSeparator" w:id="0">
    <w:p w14:paraId="6BB45C48" w14:textId="77777777" w:rsidR="00F96467" w:rsidRDefault="00F96467" w:rsidP="0016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09225"/>
      <w:docPartObj>
        <w:docPartGallery w:val="Page Numbers (Bottom of Page)"/>
        <w:docPartUnique/>
      </w:docPartObj>
    </w:sdtPr>
    <w:sdtEndPr>
      <w:rPr>
        <w:noProof/>
      </w:rPr>
    </w:sdtEndPr>
    <w:sdtContent>
      <w:p w14:paraId="7090D834" w14:textId="4EC9B70F" w:rsidR="00326DE6" w:rsidRDefault="00326DE6" w:rsidP="006E0952">
        <w:pPr>
          <w:pStyle w:val="Footer"/>
        </w:pPr>
        <w:r w:rsidRPr="004749BB">
          <w:rPr>
            <w:rFonts w:asciiTheme="majorBidi" w:hAnsiTheme="majorBidi" w:cstheme="majorBidi"/>
            <w:i/>
            <w:iCs/>
            <w:sz w:val="20"/>
            <w:szCs w:val="20"/>
          </w:rPr>
          <w:t xml:space="preserve">© </w:t>
        </w:r>
        <w:r>
          <w:rPr>
            <w:rFonts w:asciiTheme="majorBidi" w:hAnsiTheme="majorBidi" w:cstheme="majorBidi"/>
            <w:i/>
            <w:iCs/>
            <w:sz w:val="20"/>
            <w:szCs w:val="20"/>
          </w:rPr>
          <w:t>(2021) Pakistan</w:t>
        </w:r>
        <w:r w:rsidRPr="004749BB">
          <w:rPr>
            <w:rFonts w:asciiTheme="majorBidi" w:hAnsiTheme="majorBidi" w:cstheme="majorBidi"/>
            <w:i/>
            <w:iCs/>
            <w:sz w:val="20"/>
            <w:szCs w:val="20"/>
          </w:rPr>
          <w:t xml:space="preserve"> Journal of Economic Studies</w:t>
        </w:r>
        <w:r>
          <w:t xml:space="preserve">                                  </w:t>
        </w:r>
        <w:r w:rsidRPr="008052DE">
          <w:rPr>
            <w:rFonts w:asciiTheme="majorBidi" w:hAnsiTheme="majorBidi" w:cstheme="majorBidi"/>
            <w:i/>
            <w:iCs/>
            <w:noProof/>
            <w:sz w:val="20"/>
            <w:szCs w:val="20"/>
          </w:rPr>
          <w:fldChar w:fldCharType="begin"/>
        </w:r>
        <w:r w:rsidRPr="008052DE">
          <w:rPr>
            <w:rFonts w:asciiTheme="majorBidi" w:hAnsiTheme="majorBidi" w:cstheme="majorBidi"/>
            <w:i/>
            <w:iCs/>
            <w:noProof/>
            <w:sz w:val="20"/>
            <w:szCs w:val="20"/>
          </w:rPr>
          <w:instrText xml:space="preserve"> PAGE   \* MERGEFORMAT </w:instrText>
        </w:r>
        <w:r w:rsidRPr="008052DE">
          <w:rPr>
            <w:rFonts w:asciiTheme="majorBidi" w:hAnsiTheme="majorBidi" w:cstheme="majorBidi"/>
            <w:i/>
            <w:iCs/>
            <w:noProof/>
            <w:sz w:val="20"/>
            <w:szCs w:val="20"/>
          </w:rPr>
          <w:fldChar w:fldCharType="separate"/>
        </w:r>
        <w:r>
          <w:rPr>
            <w:rFonts w:asciiTheme="majorBidi" w:hAnsiTheme="majorBidi" w:cstheme="majorBidi"/>
            <w:i/>
            <w:iCs/>
            <w:noProof/>
            <w:sz w:val="20"/>
            <w:szCs w:val="20"/>
          </w:rPr>
          <w:t>46</w:t>
        </w:r>
        <w:r w:rsidRPr="008052DE">
          <w:rPr>
            <w:rFonts w:asciiTheme="majorBidi" w:hAnsiTheme="majorBidi" w:cstheme="majorBidi"/>
            <w:i/>
            <w:iCs/>
            <w:noProof/>
            <w:sz w:val="20"/>
            <w:szCs w:val="20"/>
          </w:rPr>
          <w:fldChar w:fldCharType="end"/>
        </w:r>
      </w:p>
    </w:sdtContent>
  </w:sdt>
  <w:p w14:paraId="53B5A86D" w14:textId="77777777" w:rsidR="00326DE6" w:rsidRDefault="00326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0390"/>
      <w:docPartObj>
        <w:docPartGallery w:val="Page Numbers (Bottom of Page)"/>
        <w:docPartUnique/>
      </w:docPartObj>
    </w:sdtPr>
    <w:sdtEndPr>
      <w:rPr>
        <w:noProof/>
      </w:rPr>
    </w:sdtEndPr>
    <w:sdtContent>
      <w:p w14:paraId="24917CBA" w14:textId="409D6E4C" w:rsidR="00326DE6" w:rsidRDefault="00326DE6" w:rsidP="006E0952">
        <w:pPr>
          <w:pStyle w:val="Footer"/>
        </w:pPr>
        <w:r w:rsidRPr="00B06C47">
          <w:rPr>
            <w:rFonts w:asciiTheme="majorBidi" w:hAnsiTheme="majorBidi" w:cstheme="majorBidi"/>
            <w:i/>
            <w:iCs/>
            <w:sz w:val="20"/>
            <w:szCs w:val="20"/>
          </w:rPr>
          <w:fldChar w:fldCharType="begin"/>
        </w:r>
        <w:r w:rsidRPr="00B06C47">
          <w:rPr>
            <w:rFonts w:asciiTheme="majorBidi" w:hAnsiTheme="majorBidi" w:cstheme="majorBidi"/>
            <w:i/>
            <w:iCs/>
            <w:sz w:val="20"/>
            <w:szCs w:val="20"/>
          </w:rPr>
          <w:instrText xml:space="preserve"> PAGE   \* MERGEFORMAT </w:instrText>
        </w:r>
        <w:r w:rsidRPr="00B06C47">
          <w:rPr>
            <w:rFonts w:asciiTheme="majorBidi" w:hAnsiTheme="majorBidi" w:cstheme="majorBidi"/>
            <w:i/>
            <w:iCs/>
            <w:sz w:val="20"/>
            <w:szCs w:val="20"/>
          </w:rPr>
          <w:fldChar w:fldCharType="separate"/>
        </w:r>
        <w:r>
          <w:rPr>
            <w:rFonts w:asciiTheme="majorBidi" w:hAnsiTheme="majorBidi" w:cstheme="majorBidi"/>
            <w:i/>
            <w:iCs/>
            <w:noProof/>
            <w:sz w:val="20"/>
            <w:szCs w:val="20"/>
          </w:rPr>
          <w:t>47</w:t>
        </w:r>
        <w:r w:rsidRPr="00B06C47">
          <w:rPr>
            <w:rFonts w:asciiTheme="majorBidi" w:hAnsiTheme="majorBidi" w:cstheme="majorBidi"/>
            <w:i/>
            <w:iCs/>
            <w:noProof/>
            <w:sz w:val="20"/>
            <w:szCs w:val="20"/>
          </w:rPr>
          <w:fldChar w:fldCharType="end"/>
        </w:r>
        <w:r>
          <w:rPr>
            <w:noProof/>
          </w:rPr>
          <w:tab/>
        </w:r>
        <w:r w:rsidRPr="004749BB">
          <w:rPr>
            <w:rFonts w:asciiTheme="majorBidi" w:hAnsiTheme="majorBidi" w:cstheme="majorBidi"/>
            <w:i/>
            <w:iCs/>
            <w:sz w:val="20"/>
            <w:szCs w:val="20"/>
          </w:rPr>
          <w:t xml:space="preserve">© </w:t>
        </w:r>
        <w:r>
          <w:rPr>
            <w:rFonts w:asciiTheme="majorBidi" w:hAnsiTheme="majorBidi" w:cstheme="majorBidi"/>
            <w:i/>
            <w:iCs/>
            <w:sz w:val="20"/>
            <w:szCs w:val="20"/>
          </w:rPr>
          <w:t xml:space="preserve">(2021) </w:t>
        </w:r>
        <w:r w:rsidRPr="004749BB">
          <w:rPr>
            <w:rFonts w:asciiTheme="majorBidi" w:hAnsiTheme="majorBidi" w:cstheme="majorBidi"/>
            <w:i/>
            <w:iCs/>
            <w:sz w:val="20"/>
            <w:szCs w:val="20"/>
          </w:rPr>
          <w:t>Pakistan Journal of Economic Studies</w:t>
        </w:r>
      </w:p>
    </w:sdtContent>
  </w:sdt>
  <w:p w14:paraId="770A447D" w14:textId="77777777" w:rsidR="00326DE6" w:rsidRDefault="0032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82B2" w14:textId="77777777" w:rsidR="00F96467" w:rsidRDefault="00F96467" w:rsidP="001645F3">
      <w:pPr>
        <w:spacing w:after="0" w:line="240" w:lineRule="auto"/>
      </w:pPr>
      <w:r>
        <w:separator/>
      </w:r>
    </w:p>
  </w:footnote>
  <w:footnote w:type="continuationSeparator" w:id="0">
    <w:p w14:paraId="2E0AE44D" w14:textId="77777777" w:rsidR="00F96467" w:rsidRDefault="00F96467" w:rsidP="001645F3">
      <w:pPr>
        <w:spacing w:after="0" w:line="240" w:lineRule="auto"/>
      </w:pPr>
      <w:r>
        <w:continuationSeparator/>
      </w:r>
    </w:p>
  </w:footnote>
  <w:footnote w:id="1">
    <w:p w14:paraId="296FEC09" w14:textId="50AD9ACD" w:rsidR="00C2473C" w:rsidRPr="00C2473C" w:rsidRDefault="00C2473C" w:rsidP="00A81E6E">
      <w:pPr>
        <w:pStyle w:val="NoSpacing"/>
        <w:contextualSpacing/>
        <w:jc w:val="both"/>
        <w:rPr>
          <w:rFonts w:ascii="Times New Roman" w:hAnsi="Times New Roman" w:cs="Times New Roman"/>
          <w:sz w:val="20"/>
          <w:szCs w:val="20"/>
        </w:rPr>
      </w:pPr>
      <w:r w:rsidRPr="00C2473C">
        <w:rPr>
          <w:rStyle w:val="FootnoteReference"/>
          <w:rFonts w:ascii="Times New Roman" w:hAnsi="Times New Roman" w:cs="Times New Roman"/>
          <w:sz w:val="20"/>
          <w:szCs w:val="20"/>
        </w:rPr>
        <w:footnoteRef/>
      </w:r>
      <w:r w:rsidRPr="00C2473C">
        <w:rPr>
          <w:rFonts w:ascii="Times New Roman" w:hAnsi="Times New Roman" w:cs="Times New Roman"/>
          <w:sz w:val="20"/>
          <w:szCs w:val="20"/>
        </w:rPr>
        <w:t>Institute of Business Management (</w:t>
      </w:r>
      <w:proofErr w:type="spellStart"/>
      <w:r w:rsidRPr="00C2473C">
        <w:rPr>
          <w:rFonts w:ascii="Times New Roman" w:hAnsi="Times New Roman" w:cs="Times New Roman"/>
          <w:sz w:val="20"/>
          <w:szCs w:val="20"/>
        </w:rPr>
        <w:t>IoBM</w:t>
      </w:r>
      <w:proofErr w:type="spellEnd"/>
      <w:r w:rsidRPr="00C2473C">
        <w:rPr>
          <w:rFonts w:ascii="Times New Roman" w:hAnsi="Times New Roman" w:cs="Times New Roman"/>
          <w:sz w:val="20"/>
          <w:szCs w:val="20"/>
        </w:rPr>
        <w:t>),</w:t>
      </w:r>
      <w:r w:rsidR="00A81E6E">
        <w:rPr>
          <w:rFonts w:ascii="Times New Roman" w:hAnsi="Times New Roman" w:cs="Times New Roman"/>
          <w:sz w:val="20"/>
          <w:szCs w:val="20"/>
        </w:rPr>
        <w:t xml:space="preserve"> Karachi, Pakistan.</w:t>
      </w:r>
      <w:r w:rsidRPr="00C2473C">
        <w:rPr>
          <w:rFonts w:ascii="Times New Roman" w:hAnsi="Times New Roman" w:cs="Times New Roman"/>
          <w:sz w:val="20"/>
          <w:szCs w:val="20"/>
        </w:rPr>
        <w:t xml:space="preserve"> </w:t>
      </w:r>
      <w:r w:rsidR="00A81E6E">
        <w:rPr>
          <w:rFonts w:ascii="Times New Roman" w:hAnsi="Times New Roman" w:cs="Times New Roman"/>
          <w:sz w:val="20"/>
          <w:szCs w:val="20"/>
        </w:rPr>
        <w:t xml:space="preserve">Email: </w:t>
      </w:r>
      <w:r w:rsidRPr="00C2473C">
        <w:rPr>
          <w:rFonts w:ascii="Times New Roman" w:hAnsi="Times New Roman" w:cs="Times New Roman"/>
          <w:sz w:val="20"/>
          <w:szCs w:val="20"/>
        </w:rPr>
        <w:t>sajidsalim@live.com</w:t>
      </w:r>
    </w:p>
  </w:footnote>
  <w:footnote w:id="2">
    <w:p w14:paraId="45BEE8F7" w14:textId="131C126E" w:rsidR="00C2473C" w:rsidRPr="00C2473C" w:rsidRDefault="00C2473C" w:rsidP="00A81E6E">
      <w:pPr>
        <w:pStyle w:val="NoSpacing"/>
        <w:contextualSpacing/>
        <w:jc w:val="both"/>
        <w:rPr>
          <w:rFonts w:ascii="Times New Roman" w:hAnsi="Times New Roman" w:cs="Times New Roman"/>
          <w:sz w:val="20"/>
          <w:szCs w:val="20"/>
        </w:rPr>
      </w:pPr>
      <w:r w:rsidRPr="00C2473C">
        <w:rPr>
          <w:rStyle w:val="FootnoteReference"/>
          <w:rFonts w:ascii="Times New Roman" w:hAnsi="Times New Roman" w:cs="Times New Roman"/>
          <w:sz w:val="20"/>
          <w:szCs w:val="20"/>
        </w:rPr>
        <w:footnoteRef/>
      </w:r>
      <w:r w:rsidRPr="00C2473C">
        <w:rPr>
          <w:rFonts w:ascii="Times New Roman" w:hAnsi="Times New Roman" w:cs="Times New Roman"/>
          <w:sz w:val="20"/>
          <w:szCs w:val="20"/>
        </w:rPr>
        <w:t xml:space="preserve"> Institute of Business Management (</w:t>
      </w:r>
      <w:proofErr w:type="spellStart"/>
      <w:r w:rsidRPr="00C2473C">
        <w:rPr>
          <w:rFonts w:ascii="Times New Roman" w:hAnsi="Times New Roman" w:cs="Times New Roman"/>
          <w:sz w:val="20"/>
          <w:szCs w:val="20"/>
        </w:rPr>
        <w:t>IoBM</w:t>
      </w:r>
      <w:proofErr w:type="spellEnd"/>
      <w:r w:rsidRPr="00C2473C">
        <w:rPr>
          <w:rFonts w:ascii="Times New Roman" w:hAnsi="Times New Roman" w:cs="Times New Roman"/>
          <w:sz w:val="20"/>
          <w:szCs w:val="20"/>
        </w:rPr>
        <w:t xml:space="preserve">), </w:t>
      </w:r>
      <w:r w:rsidR="00A81E6E">
        <w:rPr>
          <w:rFonts w:ascii="Times New Roman" w:hAnsi="Times New Roman" w:cs="Times New Roman"/>
          <w:sz w:val="20"/>
          <w:szCs w:val="20"/>
        </w:rPr>
        <w:t>Karachi, Pakistan.</w:t>
      </w:r>
      <w:r w:rsidR="00A81E6E" w:rsidRPr="00C2473C">
        <w:rPr>
          <w:rFonts w:ascii="Times New Roman" w:hAnsi="Times New Roman" w:cs="Times New Roman"/>
          <w:sz w:val="20"/>
          <w:szCs w:val="20"/>
        </w:rPr>
        <w:t xml:space="preserve"> </w:t>
      </w:r>
      <w:r w:rsidR="00A81E6E">
        <w:rPr>
          <w:rFonts w:ascii="Times New Roman" w:hAnsi="Times New Roman" w:cs="Times New Roman"/>
          <w:sz w:val="20"/>
          <w:szCs w:val="20"/>
        </w:rPr>
        <w:t xml:space="preserve">Email: </w:t>
      </w:r>
      <w:r w:rsidRPr="00C2473C">
        <w:rPr>
          <w:rFonts w:ascii="Times New Roman" w:hAnsi="Times New Roman" w:cs="Times New Roman"/>
          <w:sz w:val="20"/>
          <w:szCs w:val="20"/>
        </w:rPr>
        <w:t>aqeel.baig@iobm.edu.pk</w:t>
      </w:r>
    </w:p>
  </w:footnote>
  <w:footnote w:id="3">
    <w:p w14:paraId="47FC2173" w14:textId="7C975E60" w:rsidR="00C2473C" w:rsidRPr="00C2473C" w:rsidRDefault="00C2473C" w:rsidP="00A81E6E">
      <w:pPr>
        <w:pStyle w:val="NoSpacing"/>
        <w:contextualSpacing/>
        <w:jc w:val="both"/>
        <w:rPr>
          <w:rStyle w:val="Hyperlink"/>
          <w:rFonts w:ascii="Times New Roman" w:hAnsi="Times New Roman" w:cs="Times New Roman"/>
          <w:color w:val="auto"/>
          <w:sz w:val="20"/>
          <w:szCs w:val="20"/>
        </w:rPr>
      </w:pPr>
      <w:r w:rsidRPr="00C2473C">
        <w:rPr>
          <w:rStyle w:val="FootnoteReference"/>
          <w:rFonts w:ascii="Times New Roman" w:hAnsi="Times New Roman" w:cs="Times New Roman"/>
          <w:sz w:val="20"/>
          <w:szCs w:val="20"/>
        </w:rPr>
        <w:footnoteRef/>
      </w:r>
      <w:r w:rsidRPr="00C2473C">
        <w:rPr>
          <w:rFonts w:ascii="Times New Roman" w:hAnsi="Times New Roman" w:cs="Times New Roman"/>
          <w:sz w:val="20"/>
          <w:szCs w:val="20"/>
        </w:rPr>
        <w:t xml:space="preserve"> Senior lecturer, Institute of Business Management (</w:t>
      </w:r>
      <w:proofErr w:type="spellStart"/>
      <w:r w:rsidRPr="00C2473C">
        <w:rPr>
          <w:rFonts w:ascii="Times New Roman" w:hAnsi="Times New Roman" w:cs="Times New Roman"/>
          <w:sz w:val="20"/>
          <w:szCs w:val="20"/>
        </w:rPr>
        <w:t>IoBM</w:t>
      </w:r>
      <w:proofErr w:type="spellEnd"/>
      <w:r w:rsidRPr="00C2473C">
        <w:rPr>
          <w:rFonts w:ascii="Times New Roman" w:hAnsi="Times New Roman" w:cs="Times New Roman"/>
          <w:sz w:val="20"/>
          <w:szCs w:val="20"/>
        </w:rPr>
        <w:t xml:space="preserve">), </w:t>
      </w:r>
      <w:r w:rsidR="00A81E6E">
        <w:rPr>
          <w:rFonts w:ascii="Times New Roman" w:hAnsi="Times New Roman" w:cs="Times New Roman"/>
          <w:sz w:val="20"/>
          <w:szCs w:val="20"/>
        </w:rPr>
        <w:t xml:space="preserve">Karachi, Pakistan. Email: </w:t>
      </w:r>
      <w:r w:rsidRPr="00C2473C">
        <w:rPr>
          <w:rFonts w:ascii="Times New Roman" w:hAnsi="Times New Roman" w:cs="Times New Roman"/>
          <w:sz w:val="20"/>
          <w:szCs w:val="20"/>
        </w:rPr>
        <w:t>irf_yoch@yahoo.com</w:t>
      </w:r>
    </w:p>
    <w:p w14:paraId="2E9C0AD3" w14:textId="77777777" w:rsidR="00C2473C" w:rsidRPr="00232044" w:rsidRDefault="00C2473C" w:rsidP="00C2473C">
      <w:pPr>
        <w:pStyle w:val="NoSpacing"/>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058C" w14:textId="4E5FC806" w:rsidR="00162017" w:rsidRPr="00654DED" w:rsidRDefault="00054050" w:rsidP="00654DED">
    <w:pPr>
      <w:pStyle w:val="Header"/>
      <w:jc w:val="both"/>
      <w:rPr>
        <w:i/>
        <w:iCs/>
        <w:sz w:val="22"/>
      </w:rPr>
    </w:pPr>
    <w:r>
      <w:rPr>
        <w:i/>
        <w:iCs/>
        <w:sz w:val="22"/>
      </w:rPr>
      <w:t>D</w:t>
    </w:r>
    <w:r w:rsidR="00162017" w:rsidRPr="00162017">
      <w:rPr>
        <w:i/>
        <w:iCs/>
        <w:sz w:val="22"/>
      </w:rPr>
      <w:t xml:space="preserve">ynamic </w:t>
    </w:r>
    <w:r w:rsidR="00104834">
      <w:rPr>
        <w:i/>
        <w:iCs/>
        <w:sz w:val="22"/>
      </w:rPr>
      <w:t>C</w:t>
    </w:r>
    <w:r w:rsidR="00162017" w:rsidRPr="00162017">
      <w:rPr>
        <w:i/>
        <w:iCs/>
        <w:sz w:val="22"/>
      </w:rPr>
      <w:t xml:space="preserve">ausal </w:t>
    </w:r>
    <w:r w:rsidR="00104834">
      <w:rPr>
        <w:i/>
        <w:iCs/>
        <w:sz w:val="22"/>
      </w:rPr>
      <w:t>L</w:t>
    </w:r>
    <w:r w:rsidR="00162017" w:rsidRPr="00162017">
      <w:rPr>
        <w:i/>
        <w:iCs/>
        <w:sz w:val="22"/>
      </w:rPr>
      <w:t xml:space="preserve">inkages </w:t>
    </w:r>
    <w:r w:rsidR="00104834">
      <w:rPr>
        <w:i/>
        <w:iCs/>
        <w:sz w:val="22"/>
      </w:rPr>
      <w:t>B</w:t>
    </w:r>
    <w:r w:rsidR="00162017" w:rsidRPr="00162017">
      <w:rPr>
        <w:i/>
        <w:iCs/>
        <w:sz w:val="22"/>
      </w:rPr>
      <w:t>etween Major Stock Exchanges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C54E" w14:textId="081D422F" w:rsidR="00326DE6" w:rsidRPr="00D657CC" w:rsidRDefault="00160B20">
    <w:pPr>
      <w:pStyle w:val="Header"/>
      <w:rPr>
        <w:i/>
        <w:iCs/>
        <w:sz w:val="22"/>
      </w:rPr>
    </w:pPr>
    <w:r>
      <w:rPr>
        <w:i/>
        <w:iCs/>
        <w:sz w:val="22"/>
      </w:rPr>
      <w:t xml:space="preserve">Salim, </w:t>
    </w:r>
    <w:proofErr w:type="spellStart"/>
    <w:r>
      <w:rPr>
        <w:i/>
        <w:iCs/>
        <w:sz w:val="22"/>
      </w:rPr>
      <w:t>Baig</w:t>
    </w:r>
    <w:proofErr w:type="spellEnd"/>
    <w:r>
      <w:rPr>
        <w:i/>
        <w:iCs/>
        <w:sz w:val="22"/>
      </w:rPr>
      <w:t xml:space="preserve"> and Lal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44D3" w14:textId="6B92D56B" w:rsidR="00326DE6" w:rsidRDefault="00C67243">
    <w:pPr>
      <w:pStyle w:val="Header"/>
    </w:pPr>
    <w:r>
      <w:rPr>
        <w:rFonts w:asciiTheme="majorBidi" w:hAnsiTheme="majorBidi" w:cstheme="majorBidi"/>
        <w:i/>
        <w:iCs/>
        <w:noProof/>
        <w:sz w:val="20"/>
        <w:szCs w:val="20"/>
      </w:rPr>
      <mc:AlternateContent>
        <mc:Choice Requires="wps">
          <w:drawing>
            <wp:anchor distT="0" distB="0" distL="114300" distR="114300" simplePos="0" relativeHeight="251663360" behindDoc="1" locked="0" layoutInCell="1" allowOverlap="1" wp14:anchorId="049C1540" wp14:editId="035C4672">
              <wp:simplePos x="0" y="0"/>
              <wp:positionH relativeFrom="column">
                <wp:posOffset>2965450</wp:posOffset>
              </wp:positionH>
              <wp:positionV relativeFrom="paragraph">
                <wp:posOffset>15875</wp:posOffset>
              </wp:positionV>
              <wp:extent cx="1028700" cy="381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28700" cy="381000"/>
                      </a:xfrm>
                      <a:prstGeom prst="rect">
                        <a:avLst/>
                      </a:prstGeom>
                      <a:solidFill>
                        <a:schemeClr val="lt1"/>
                      </a:solidFill>
                      <a:ln w="6350">
                        <a:solidFill>
                          <a:prstClr val="black"/>
                        </a:solidFill>
                      </a:ln>
                    </wps:spPr>
                    <wps:txbx>
                      <w:txbxContent>
                        <w:p w14:paraId="0534749B" w14:textId="77777777" w:rsidR="00326DE6" w:rsidRPr="004275ED" w:rsidRDefault="00326DE6" w:rsidP="006E0952">
                          <w:pPr>
                            <w:spacing w:after="0" w:line="360" w:lineRule="auto"/>
                            <w:jc w:val="both"/>
                            <w:rPr>
                              <w:sz w:val="16"/>
                              <w:szCs w:val="16"/>
                            </w:rPr>
                          </w:pPr>
                          <w:r w:rsidRPr="004275ED">
                            <w:rPr>
                              <w:sz w:val="16"/>
                              <w:szCs w:val="16"/>
                            </w:rPr>
                            <w:t>ISSN 2708-1486</w:t>
                          </w:r>
                          <w:r>
                            <w:rPr>
                              <w:sz w:val="16"/>
                              <w:szCs w:val="16"/>
                            </w:rPr>
                            <w:t xml:space="preserve"> </w:t>
                          </w:r>
                          <w:r w:rsidRPr="004275ED">
                            <w:rPr>
                              <w:sz w:val="16"/>
                              <w:szCs w:val="16"/>
                            </w:rPr>
                            <w:t>(</w:t>
                          </w:r>
                          <w:r>
                            <w:rPr>
                              <w:sz w:val="16"/>
                              <w:szCs w:val="16"/>
                            </w:rPr>
                            <w:t>E</w:t>
                          </w:r>
                          <w:r w:rsidRPr="004275ED">
                            <w:rPr>
                              <w:sz w:val="16"/>
                              <w:szCs w:val="16"/>
                            </w:rPr>
                            <w:t>)</w:t>
                          </w:r>
                        </w:p>
                        <w:p w14:paraId="486A238B" w14:textId="77777777" w:rsidR="00326DE6" w:rsidRPr="004275ED" w:rsidRDefault="00326DE6" w:rsidP="006E0952">
                          <w:pPr>
                            <w:spacing w:after="0" w:line="360" w:lineRule="auto"/>
                            <w:ind w:right="-120"/>
                            <w:jc w:val="both"/>
                            <w:rPr>
                              <w:sz w:val="16"/>
                              <w:szCs w:val="16"/>
                            </w:rPr>
                          </w:pPr>
                          <w:r w:rsidRPr="004275ED">
                            <w:rPr>
                              <w:sz w:val="16"/>
                              <w:szCs w:val="16"/>
                            </w:rPr>
                            <w:t>ISSN 2708-1478 (P)</w:t>
                          </w:r>
                        </w:p>
                        <w:p w14:paraId="2AE25F0B" w14:textId="77777777" w:rsidR="00326DE6" w:rsidRPr="00582FDF" w:rsidRDefault="00326DE6" w:rsidP="006E0952">
                          <w:pPr>
                            <w:spacing w:after="0" w:line="240" w:lineRule="auto"/>
                            <w:rPr>
                              <w:sz w:val="20"/>
                              <w:szCs w:val="20"/>
                            </w:rPr>
                          </w:pPr>
                        </w:p>
                        <w:p w14:paraId="4964F0C7" w14:textId="77777777" w:rsidR="00326DE6" w:rsidRDefault="00326DE6" w:rsidP="006E0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C1540" id="_x0000_t202" coordsize="21600,21600" o:spt="202" path="m,l,21600r21600,l21600,xe">
              <v:stroke joinstyle="miter"/>
              <v:path gradientshapeok="t" o:connecttype="rect"/>
            </v:shapetype>
            <v:shape id="Text Box 4" o:spid="_x0000_s1026" type="#_x0000_t202" style="position:absolute;margin-left:233.5pt;margin-top:1.25pt;width:81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" fillcolor="white [3201]" strokeweight=".5pt">
              <v:textbox>
                <w:txbxContent>
                  <w:p w14:paraId="0534749B" w14:textId="77777777" w:rsidR="00326DE6" w:rsidRPr="004275ED" w:rsidRDefault="00326DE6" w:rsidP="006E0952">
                    <w:pPr>
                      <w:spacing w:after="0" w:line="360" w:lineRule="auto"/>
                      <w:jc w:val="both"/>
                      <w:rPr>
                        <w:sz w:val="16"/>
                        <w:szCs w:val="16"/>
                      </w:rPr>
                    </w:pPr>
                    <w:r w:rsidRPr="004275ED">
                      <w:rPr>
                        <w:sz w:val="16"/>
                        <w:szCs w:val="16"/>
                      </w:rPr>
                      <w:t>ISSN 2708-1486</w:t>
                    </w:r>
                    <w:r>
                      <w:rPr>
                        <w:sz w:val="16"/>
                        <w:szCs w:val="16"/>
                      </w:rPr>
                      <w:t xml:space="preserve"> </w:t>
                    </w:r>
                    <w:r w:rsidRPr="004275ED">
                      <w:rPr>
                        <w:sz w:val="16"/>
                        <w:szCs w:val="16"/>
                      </w:rPr>
                      <w:t>(</w:t>
                    </w:r>
                    <w:r>
                      <w:rPr>
                        <w:sz w:val="16"/>
                        <w:szCs w:val="16"/>
                      </w:rPr>
                      <w:t>E</w:t>
                    </w:r>
                    <w:r w:rsidRPr="004275ED">
                      <w:rPr>
                        <w:sz w:val="16"/>
                        <w:szCs w:val="16"/>
                      </w:rPr>
                      <w:t>)</w:t>
                    </w:r>
                  </w:p>
                  <w:p w14:paraId="486A238B" w14:textId="77777777" w:rsidR="00326DE6" w:rsidRPr="004275ED" w:rsidRDefault="00326DE6" w:rsidP="006E0952">
                    <w:pPr>
                      <w:spacing w:after="0" w:line="360" w:lineRule="auto"/>
                      <w:ind w:right="-120"/>
                      <w:jc w:val="both"/>
                      <w:rPr>
                        <w:sz w:val="16"/>
                        <w:szCs w:val="16"/>
                      </w:rPr>
                    </w:pPr>
                    <w:r w:rsidRPr="004275ED">
                      <w:rPr>
                        <w:sz w:val="16"/>
                        <w:szCs w:val="16"/>
                      </w:rPr>
                      <w:t>ISSN 2708-1478 (P)</w:t>
                    </w:r>
                  </w:p>
                  <w:p w14:paraId="2AE25F0B" w14:textId="77777777" w:rsidR="00326DE6" w:rsidRPr="00582FDF" w:rsidRDefault="00326DE6" w:rsidP="006E0952">
                    <w:pPr>
                      <w:spacing w:after="0" w:line="240" w:lineRule="auto"/>
                      <w:rPr>
                        <w:sz w:val="20"/>
                        <w:szCs w:val="20"/>
                      </w:rPr>
                    </w:pPr>
                  </w:p>
                  <w:p w14:paraId="4964F0C7" w14:textId="77777777" w:rsidR="00326DE6" w:rsidRDefault="00326DE6" w:rsidP="006E0952"/>
                </w:txbxContent>
              </v:textbox>
            </v:shape>
          </w:pict>
        </mc:Fallback>
      </mc:AlternateContent>
    </w:r>
    <w:r w:rsidR="00326DE6">
      <w:rPr>
        <w:rFonts w:asciiTheme="majorBidi" w:hAnsiTheme="majorBidi" w:cstheme="majorBidi"/>
        <w:i/>
        <w:iCs/>
        <w:noProof/>
        <w:sz w:val="20"/>
        <w:szCs w:val="20"/>
      </w:rPr>
      <mc:AlternateContent>
        <mc:Choice Requires="wps">
          <w:drawing>
            <wp:anchor distT="0" distB="0" distL="114300" distR="114300" simplePos="0" relativeHeight="251658239" behindDoc="0" locked="0" layoutInCell="1" allowOverlap="1" wp14:anchorId="380B48C3" wp14:editId="30596C77">
              <wp:simplePos x="0" y="0"/>
              <wp:positionH relativeFrom="column">
                <wp:posOffset>476250</wp:posOffset>
              </wp:positionH>
              <wp:positionV relativeFrom="paragraph">
                <wp:posOffset>-25400</wp:posOffset>
              </wp:positionV>
              <wp:extent cx="2447290" cy="501650"/>
              <wp:effectExtent l="0" t="0" r="10160" b="12700"/>
              <wp:wrapNone/>
              <wp:docPr id="7" name="Text Box 7"/>
              <wp:cNvGraphicFramePr/>
              <a:graphic xmlns:a="http://schemas.openxmlformats.org/drawingml/2006/main">
                <a:graphicData uri="http://schemas.microsoft.com/office/word/2010/wordprocessingShape">
                  <wps:wsp>
                    <wps:cNvSpPr txBox="1"/>
                    <wps:spPr>
                      <a:xfrm>
                        <a:off x="0" y="0"/>
                        <a:ext cx="2447290" cy="501650"/>
                      </a:xfrm>
                      <a:prstGeom prst="rect">
                        <a:avLst/>
                      </a:prstGeom>
                      <a:solidFill>
                        <a:schemeClr val="lt1"/>
                      </a:solidFill>
                      <a:ln w="6350">
                        <a:solidFill>
                          <a:schemeClr val="bg1"/>
                        </a:solidFill>
                      </a:ln>
                    </wps:spPr>
                    <wps:txbx>
                      <w:txbxContent>
                        <w:p w14:paraId="3A83E8CC" w14:textId="77777777" w:rsidR="00326DE6" w:rsidRPr="00C67243" w:rsidRDefault="00326DE6" w:rsidP="006E0952">
                          <w:pPr>
                            <w:spacing w:after="0" w:line="240" w:lineRule="auto"/>
                            <w:jc w:val="center"/>
                            <w:rPr>
                              <w:rFonts w:asciiTheme="majorBidi" w:hAnsiTheme="majorBidi" w:cstheme="majorBidi"/>
                              <w:i/>
                              <w:iCs/>
                              <w:sz w:val="18"/>
                              <w:szCs w:val="18"/>
                            </w:rPr>
                          </w:pPr>
                          <w:r w:rsidRPr="00C67243">
                            <w:rPr>
                              <w:rFonts w:asciiTheme="majorBidi" w:hAnsiTheme="majorBidi" w:cstheme="majorBidi"/>
                              <w:i/>
                              <w:iCs/>
                              <w:sz w:val="18"/>
                              <w:szCs w:val="18"/>
                            </w:rPr>
                            <w:t>© Pakistan Journal of Economic Studies</w:t>
                          </w:r>
                        </w:p>
                        <w:p w14:paraId="7186B512" w14:textId="77777777" w:rsidR="00326DE6" w:rsidRPr="00C67243" w:rsidRDefault="00326DE6" w:rsidP="006E0952">
                          <w:pPr>
                            <w:pStyle w:val="Header"/>
                            <w:jc w:val="center"/>
                            <w:rPr>
                              <w:rStyle w:val="Hyperlink"/>
                              <w:rFonts w:asciiTheme="majorBidi" w:hAnsiTheme="majorBidi"/>
                              <w:i/>
                              <w:iCs/>
                              <w:color w:val="000000" w:themeColor="text1"/>
                              <w:sz w:val="18"/>
                              <w:szCs w:val="18"/>
                              <w:u w:val="none"/>
                            </w:rPr>
                          </w:pPr>
                          <w:r w:rsidRPr="00C67243">
                            <w:rPr>
                              <w:rFonts w:asciiTheme="majorBidi" w:hAnsiTheme="majorBidi"/>
                              <w:i/>
                              <w:iCs/>
                              <w:color w:val="000000" w:themeColor="text1"/>
                              <w:sz w:val="18"/>
                              <w:szCs w:val="18"/>
                            </w:rPr>
                            <w:fldChar w:fldCharType="begin"/>
                          </w:r>
                          <w:r w:rsidRPr="00C67243">
                            <w:rPr>
                              <w:rFonts w:asciiTheme="majorBidi" w:hAnsiTheme="majorBidi"/>
                              <w:i/>
                              <w:iCs/>
                              <w:color w:val="000000" w:themeColor="text1"/>
                              <w:sz w:val="18"/>
                              <w:szCs w:val="18"/>
                            </w:rPr>
                            <w:instrText xml:space="preserve"> HYPERLINK "https://journals.iub.edu.pk/index.php/pjes/index" </w:instrText>
                          </w:r>
                          <w:r w:rsidRPr="00C67243">
                            <w:rPr>
                              <w:rFonts w:asciiTheme="majorBidi" w:hAnsiTheme="majorBidi"/>
                              <w:i/>
                              <w:iCs/>
                              <w:color w:val="000000" w:themeColor="text1"/>
                              <w:sz w:val="18"/>
                              <w:szCs w:val="18"/>
                            </w:rPr>
                            <w:fldChar w:fldCharType="separate"/>
                          </w:r>
                          <w:r w:rsidRPr="00C67243">
                            <w:rPr>
                              <w:rStyle w:val="Hyperlink"/>
                              <w:rFonts w:asciiTheme="majorBidi" w:hAnsiTheme="majorBidi"/>
                              <w:i/>
                              <w:iCs/>
                              <w:color w:val="000000" w:themeColor="text1"/>
                              <w:sz w:val="18"/>
                              <w:szCs w:val="18"/>
                              <w:u w:val="none"/>
                            </w:rPr>
                            <w:t>https://journals.iub.edu.pk/index.php/pjes</w:t>
                          </w:r>
                        </w:p>
                        <w:p w14:paraId="5E05F8B7" w14:textId="6B5BFF9E" w:rsidR="00326DE6" w:rsidRDefault="00326DE6" w:rsidP="00C67243">
                          <w:pPr>
                            <w:pStyle w:val="Header"/>
                            <w:jc w:val="center"/>
                          </w:pPr>
                          <w:r w:rsidRPr="00C67243">
                            <w:rPr>
                              <w:rFonts w:asciiTheme="majorBidi" w:hAnsiTheme="majorBidi"/>
                              <w:i/>
                              <w:iCs/>
                              <w:color w:val="000000" w:themeColor="text1"/>
                              <w:sz w:val="18"/>
                              <w:szCs w:val="18"/>
                            </w:rPr>
                            <w:fldChar w:fldCharType="end"/>
                          </w:r>
                          <w:r w:rsidRPr="00C67243">
                            <w:rPr>
                              <w:rFonts w:asciiTheme="majorBidi" w:hAnsiTheme="majorBidi" w:cstheme="majorBidi"/>
                              <w:sz w:val="18"/>
                              <w:szCs w:val="18"/>
                            </w:rPr>
                            <w:t xml:space="preserve">Vol. 4, No. </w:t>
                          </w:r>
                          <w:r w:rsidR="00472E8F" w:rsidRPr="00C67243">
                            <w:rPr>
                              <w:rFonts w:asciiTheme="majorBidi" w:hAnsiTheme="majorBidi" w:cstheme="majorBidi"/>
                              <w:sz w:val="18"/>
                              <w:szCs w:val="18"/>
                            </w:rPr>
                            <w:t>2</w:t>
                          </w:r>
                          <w:r w:rsidRPr="00C67243">
                            <w:rPr>
                              <w:rFonts w:asciiTheme="majorBidi" w:hAnsiTheme="majorBidi" w:cstheme="majorBidi"/>
                              <w:sz w:val="18"/>
                              <w:szCs w:val="18"/>
                            </w:rPr>
                            <w:t xml:space="preserve">, </w:t>
                          </w:r>
                          <w:r w:rsidR="00F818D4" w:rsidRPr="00C67243">
                            <w:rPr>
                              <w:rFonts w:asciiTheme="majorBidi" w:hAnsiTheme="majorBidi" w:cstheme="majorBidi"/>
                              <w:sz w:val="18"/>
                              <w:szCs w:val="18"/>
                            </w:rPr>
                            <w:t>December</w:t>
                          </w:r>
                          <w:r w:rsidRPr="00C67243">
                            <w:rPr>
                              <w:rFonts w:asciiTheme="majorBidi" w:hAnsiTheme="majorBidi" w:cstheme="majorBidi"/>
                              <w:sz w:val="18"/>
                              <w:szCs w:val="18"/>
                            </w:rPr>
                            <w:t xml:space="preserve"> 2021, Pages: </w:t>
                          </w:r>
                          <w:r w:rsidR="00F818D4" w:rsidRPr="00C67243">
                            <w:rPr>
                              <w:rFonts w:asciiTheme="majorBidi" w:hAnsiTheme="majorBidi" w:cstheme="majorBidi"/>
                              <w:sz w:val="18"/>
                              <w:szCs w:val="18"/>
                            </w:rPr>
                            <w:t>2</w:t>
                          </w:r>
                          <w:r w:rsidR="00C2473C">
                            <w:rPr>
                              <w:rFonts w:asciiTheme="majorBidi" w:hAnsiTheme="majorBidi" w:cstheme="majorBidi"/>
                              <w:sz w:val="18"/>
                              <w:szCs w:val="18"/>
                            </w:rPr>
                            <w:t>37</w:t>
                          </w:r>
                          <w:r w:rsidRPr="00C67243">
                            <w:rPr>
                              <w:rFonts w:asciiTheme="majorBidi" w:hAnsiTheme="majorBidi" w:cstheme="majorBidi"/>
                              <w:sz w:val="18"/>
                              <w:szCs w:val="18"/>
                            </w:rPr>
                            <w:t>-</w:t>
                          </w:r>
                          <w:r w:rsidR="00C67243" w:rsidRPr="00C67243">
                            <w:rPr>
                              <w:rFonts w:asciiTheme="majorBidi" w:hAnsiTheme="majorBidi" w:cstheme="majorBidi"/>
                              <w:sz w:val="18"/>
                              <w:szCs w:val="18"/>
                            </w:rPr>
                            <w:t>2</w:t>
                          </w:r>
                          <w:r w:rsidR="00581CA5">
                            <w:rPr>
                              <w:rFonts w:asciiTheme="majorBidi" w:hAnsiTheme="majorBidi" w:cstheme="majorBidi"/>
                              <w:sz w:val="18"/>
                              <w:szCs w:val="18"/>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48C3" id="Text Box 7" o:spid="_x0000_s1027" type="#_x0000_t202" style="position:absolute;margin-left:37.5pt;margin-top:-2pt;width:192.7pt;height:3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" fillcolor="white [3201]" strokecolor="white [3212]" strokeweight=".5pt">
              <v:textbox>
                <w:txbxContent>
                  <w:p w14:paraId="3A83E8CC" w14:textId="77777777" w:rsidR="00326DE6" w:rsidRPr="00C67243" w:rsidRDefault="00326DE6" w:rsidP="006E0952">
                    <w:pPr>
                      <w:spacing w:after="0" w:line="240" w:lineRule="auto"/>
                      <w:jc w:val="center"/>
                      <w:rPr>
                        <w:rFonts w:asciiTheme="majorBidi" w:hAnsiTheme="majorBidi" w:cstheme="majorBidi"/>
                        <w:i/>
                        <w:iCs/>
                        <w:sz w:val="18"/>
                        <w:szCs w:val="18"/>
                      </w:rPr>
                    </w:pPr>
                    <w:r w:rsidRPr="00C67243">
                      <w:rPr>
                        <w:rFonts w:asciiTheme="majorBidi" w:hAnsiTheme="majorBidi" w:cstheme="majorBidi"/>
                        <w:i/>
                        <w:iCs/>
                        <w:sz w:val="18"/>
                        <w:szCs w:val="18"/>
                      </w:rPr>
                      <w:t>© Pakistan Journal of Economic Studies</w:t>
                    </w:r>
                  </w:p>
                  <w:p w14:paraId="7186B512" w14:textId="77777777" w:rsidR="00326DE6" w:rsidRPr="00C67243" w:rsidRDefault="00326DE6" w:rsidP="006E0952">
                    <w:pPr>
                      <w:pStyle w:val="Header"/>
                      <w:jc w:val="center"/>
                      <w:rPr>
                        <w:rStyle w:val="Hyperlink"/>
                        <w:rFonts w:asciiTheme="majorBidi" w:hAnsiTheme="majorBidi"/>
                        <w:i/>
                        <w:iCs/>
                        <w:color w:val="000000" w:themeColor="text1"/>
                        <w:sz w:val="18"/>
                        <w:szCs w:val="18"/>
                        <w:u w:val="none"/>
                      </w:rPr>
                    </w:pPr>
                    <w:r w:rsidRPr="00C67243">
                      <w:rPr>
                        <w:rFonts w:asciiTheme="majorBidi" w:hAnsiTheme="majorBidi"/>
                        <w:i/>
                        <w:iCs/>
                        <w:color w:val="000000" w:themeColor="text1"/>
                        <w:sz w:val="18"/>
                        <w:szCs w:val="18"/>
                      </w:rPr>
                      <w:fldChar w:fldCharType="begin"/>
                    </w:r>
                    <w:r w:rsidRPr="00C67243">
                      <w:rPr>
                        <w:rFonts w:asciiTheme="majorBidi" w:hAnsiTheme="majorBidi"/>
                        <w:i/>
                        <w:iCs/>
                        <w:color w:val="000000" w:themeColor="text1"/>
                        <w:sz w:val="18"/>
                        <w:szCs w:val="18"/>
                      </w:rPr>
                      <w:instrText xml:space="preserve"> HYPERLINK "https://journals.iub.edu.pk/index.php/pjes/index" </w:instrText>
                    </w:r>
                    <w:r w:rsidRPr="00C67243">
                      <w:rPr>
                        <w:rFonts w:asciiTheme="majorBidi" w:hAnsiTheme="majorBidi"/>
                        <w:i/>
                        <w:iCs/>
                        <w:color w:val="000000" w:themeColor="text1"/>
                        <w:sz w:val="18"/>
                        <w:szCs w:val="18"/>
                      </w:rPr>
                      <w:fldChar w:fldCharType="separate"/>
                    </w:r>
                    <w:r w:rsidRPr="00C67243">
                      <w:rPr>
                        <w:rStyle w:val="Hyperlink"/>
                        <w:rFonts w:asciiTheme="majorBidi" w:hAnsiTheme="majorBidi"/>
                        <w:i/>
                        <w:iCs/>
                        <w:color w:val="000000" w:themeColor="text1"/>
                        <w:sz w:val="18"/>
                        <w:szCs w:val="18"/>
                        <w:u w:val="none"/>
                      </w:rPr>
                      <w:t>https://journals.iub.edu.pk/index.php/pjes</w:t>
                    </w:r>
                  </w:p>
                  <w:p w14:paraId="5E05F8B7" w14:textId="6B5BFF9E" w:rsidR="00326DE6" w:rsidRDefault="00326DE6" w:rsidP="00C67243">
                    <w:pPr>
                      <w:pStyle w:val="Header"/>
                      <w:jc w:val="center"/>
                    </w:pPr>
                    <w:r w:rsidRPr="00C67243">
                      <w:rPr>
                        <w:rFonts w:asciiTheme="majorBidi" w:hAnsiTheme="majorBidi"/>
                        <w:i/>
                        <w:iCs/>
                        <w:color w:val="000000" w:themeColor="text1"/>
                        <w:sz w:val="18"/>
                        <w:szCs w:val="18"/>
                      </w:rPr>
                      <w:fldChar w:fldCharType="end"/>
                    </w:r>
                    <w:r w:rsidRPr="00C67243">
                      <w:rPr>
                        <w:rFonts w:asciiTheme="majorBidi" w:hAnsiTheme="majorBidi" w:cstheme="majorBidi"/>
                        <w:sz w:val="18"/>
                        <w:szCs w:val="18"/>
                      </w:rPr>
                      <w:t xml:space="preserve">Vol. 4, No. </w:t>
                    </w:r>
                    <w:r w:rsidR="00472E8F" w:rsidRPr="00C67243">
                      <w:rPr>
                        <w:rFonts w:asciiTheme="majorBidi" w:hAnsiTheme="majorBidi" w:cstheme="majorBidi"/>
                        <w:sz w:val="18"/>
                        <w:szCs w:val="18"/>
                      </w:rPr>
                      <w:t>2</w:t>
                    </w:r>
                    <w:r w:rsidRPr="00C67243">
                      <w:rPr>
                        <w:rFonts w:asciiTheme="majorBidi" w:hAnsiTheme="majorBidi" w:cstheme="majorBidi"/>
                        <w:sz w:val="18"/>
                        <w:szCs w:val="18"/>
                      </w:rPr>
                      <w:t xml:space="preserve">, </w:t>
                    </w:r>
                    <w:r w:rsidR="00F818D4" w:rsidRPr="00C67243">
                      <w:rPr>
                        <w:rFonts w:asciiTheme="majorBidi" w:hAnsiTheme="majorBidi" w:cstheme="majorBidi"/>
                        <w:sz w:val="18"/>
                        <w:szCs w:val="18"/>
                      </w:rPr>
                      <w:t>December</w:t>
                    </w:r>
                    <w:r w:rsidRPr="00C67243">
                      <w:rPr>
                        <w:rFonts w:asciiTheme="majorBidi" w:hAnsiTheme="majorBidi" w:cstheme="majorBidi"/>
                        <w:sz w:val="18"/>
                        <w:szCs w:val="18"/>
                      </w:rPr>
                      <w:t xml:space="preserve"> 2021, Pages: </w:t>
                    </w:r>
                    <w:r w:rsidR="00F818D4" w:rsidRPr="00C67243">
                      <w:rPr>
                        <w:rFonts w:asciiTheme="majorBidi" w:hAnsiTheme="majorBidi" w:cstheme="majorBidi"/>
                        <w:sz w:val="18"/>
                        <w:szCs w:val="18"/>
                      </w:rPr>
                      <w:t>2</w:t>
                    </w:r>
                    <w:r w:rsidR="00C2473C">
                      <w:rPr>
                        <w:rFonts w:asciiTheme="majorBidi" w:hAnsiTheme="majorBidi" w:cstheme="majorBidi"/>
                        <w:sz w:val="18"/>
                        <w:szCs w:val="18"/>
                      </w:rPr>
                      <w:t>37</w:t>
                    </w:r>
                    <w:r w:rsidRPr="00C67243">
                      <w:rPr>
                        <w:rFonts w:asciiTheme="majorBidi" w:hAnsiTheme="majorBidi" w:cstheme="majorBidi"/>
                        <w:sz w:val="18"/>
                        <w:szCs w:val="18"/>
                      </w:rPr>
                      <w:t>-</w:t>
                    </w:r>
                    <w:r w:rsidR="00C67243" w:rsidRPr="00C67243">
                      <w:rPr>
                        <w:rFonts w:asciiTheme="majorBidi" w:hAnsiTheme="majorBidi" w:cstheme="majorBidi"/>
                        <w:sz w:val="18"/>
                        <w:szCs w:val="18"/>
                      </w:rPr>
                      <w:t>2</w:t>
                    </w:r>
                    <w:r w:rsidR="00581CA5">
                      <w:rPr>
                        <w:rFonts w:asciiTheme="majorBidi" w:hAnsiTheme="majorBidi" w:cstheme="majorBidi"/>
                        <w:sz w:val="18"/>
                        <w:szCs w:val="18"/>
                      </w:rPr>
                      <w:t>72</w:t>
                    </w:r>
                  </w:p>
                </w:txbxContent>
              </v:textbox>
            </v:shape>
          </w:pict>
        </mc:Fallback>
      </mc:AlternateContent>
    </w:r>
    <w:r w:rsidR="00326DE6">
      <w:rPr>
        <w:noProof/>
      </w:rPr>
      <w:drawing>
        <wp:anchor distT="0" distB="0" distL="114300" distR="114300" simplePos="0" relativeHeight="251664384" behindDoc="1" locked="0" layoutInCell="1" allowOverlap="1" wp14:anchorId="656DC90F" wp14:editId="05C3A885">
          <wp:simplePos x="0" y="0"/>
          <wp:positionH relativeFrom="column">
            <wp:posOffset>0</wp:posOffset>
          </wp:positionH>
          <wp:positionV relativeFrom="paragraph">
            <wp:posOffset>0</wp:posOffset>
          </wp:positionV>
          <wp:extent cx="457200" cy="457200"/>
          <wp:effectExtent l="0" t="0" r="0" b="0"/>
          <wp:wrapNone/>
          <wp:docPr id="1" name="Picture 1" descr="A picture containing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7560"/>
    <w:multiLevelType w:val="multilevel"/>
    <w:tmpl w:val="08090025"/>
    <w:styleLink w:val="Chapter1"/>
    <w:lvl w:ilvl="0">
      <w:start w:val="1"/>
      <w:numFmt w:val="decimal"/>
      <w:lvlText w:val="%1"/>
      <w:lvlJc w:val="left"/>
      <w:pPr>
        <w:ind w:left="432" w:hanging="432"/>
      </w:pPr>
      <w:rPr>
        <w:rFonts w:ascii="Times New Roman" w:hAnsi="Times New Roman"/>
        <w:b/>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D5C52A6"/>
    <w:multiLevelType w:val="multilevel"/>
    <w:tmpl w:val="53ECDCEA"/>
    <w:lvl w:ilvl="0">
      <w:start w:val="1"/>
      <w:numFmt w:val="decimal"/>
      <w:lvlText w:val="%1"/>
      <w:lvlJc w:val="left"/>
      <w:pPr>
        <w:ind w:left="1069" w:hanging="360"/>
      </w:pPr>
      <w:rPr>
        <w:rFonts w:hint="default"/>
      </w:rPr>
    </w:lvl>
    <w:lvl w:ilvl="1">
      <w:start w:val="1"/>
      <w:numFmt w:val="decimal"/>
      <w:pStyle w:val="Heading2"/>
      <w:isLgl/>
      <w:lvlText w:val="%1.%2"/>
      <w:lvlJc w:val="left"/>
      <w:pPr>
        <w:ind w:left="1069" w:hanging="36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71050EB7"/>
    <w:multiLevelType w:val="multilevel"/>
    <w:tmpl w:val="95AA06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0" w:nlCheck="1" w:checkStyle="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szQxNTKwMDQ3NTZU0lEKTi0uzszPAykwNqgFALBCo/QtAAAA"/>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45D4A"/>
    <w:rsid w:val="0000342C"/>
    <w:rsid w:val="00004436"/>
    <w:rsid w:val="00006164"/>
    <w:rsid w:val="000116B4"/>
    <w:rsid w:val="00012590"/>
    <w:rsid w:val="00014A79"/>
    <w:rsid w:val="00014AFF"/>
    <w:rsid w:val="00014EE8"/>
    <w:rsid w:val="00016318"/>
    <w:rsid w:val="00016477"/>
    <w:rsid w:val="00017008"/>
    <w:rsid w:val="00020088"/>
    <w:rsid w:val="000214FD"/>
    <w:rsid w:val="00024283"/>
    <w:rsid w:val="00026C97"/>
    <w:rsid w:val="000314AB"/>
    <w:rsid w:val="0003163B"/>
    <w:rsid w:val="0003222E"/>
    <w:rsid w:val="000322B9"/>
    <w:rsid w:val="00035005"/>
    <w:rsid w:val="000421B5"/>
    <w:rsid w:val="00046730"/>
    <w:rsid w:val="000471BF"/>
    <w:rsid w:val="000479D1"/>
    <w:rsid w:val="000479ED"/>
    <w:rsid w:val="000506A3"/>
    <w:rsid w:val="00051E6F"/>
    <w:rsid w:val="00053059"/>
    <w:rsid w:val="00053A10"/>
    <w:rsid w:val="00054050"/>
    <w:rsid w:val="000555D3"/>
    <w:rsid w:val="00055A6C"/>
    <w:rsid w:val="00057D91"/>
    <w:rsid w:val="0006164B"/>
    <w:rsid w:val="00061D77"/>
    <w:rsid w:val="00062544"/>
    <w:rsid w:val="00063107"/>
    <w:rsid w:val="00063306"/>
    <w:rsid w:val="00063B80"/>
    <w:rsid w:val="0006425E"/>
    <w:rsid w:val="000643E0"/>
    <w:rsid w:val="0006452B"/>
    <w:rsid w:val="00065CF0"/>
    <w:rsid w:val="00066093"/>
    <w:rsid w:val="00070758"/>
    <w:rsid w:val="0007162C"/>
    <w:rsid w:val="000722EE"/>
    <w:rsid w:val="00072E8B"/>
    <w:rsid w:val="00075CF0"/>
    <w:rsid w:val="000779A2"/>
    <w:rsid w:val="00080FD8"/>
    <w:rsid w:val="0008405E"/>
    <w:rsid w:val="00085DDA"/>
    <w:rsid w:val="0008646D"/>
    <w:rsid w:val="000867FC"/>
    <w:rsid w:val="000905FC"/>
    <w:rsid w:val="0009116A"/>
    <w:rsid w:val="000925D9"/>
    <w:rsid w:val="00092FDB"/>
    <w:rsid w:val="00093882"/>
    <w:rsid w:val="0009605E"/>
    <w:rsid w:val="000964EC"/>
    <w:rsid w:val="00097551"/>
    <w:rsid w:val="000A2476"/>
    <w:rsid w:val="000A2521"/>
    <w:rsid w:val="000A37E3"/>
    <w:rsid w:val="000A788A"/>
    <w:rsid w:val="000B03E5"/>
    <w:rsid w:val="000B0CF2"/>
    <w:rsid w:val="000B0ECB"/>
    <w:rsid w:val="000B1292"/>
    <w:rsid w:val="000B7A65"/>
    <w:rsid w:val="000C11C8"/>
    <w:rsid w:val="000C6E2F"/>
    <w:rsid w:val="000C745E"/>
    <w:rsid w:val="000D0CA6"/>
    <w:rsid w:val="000D1973"/>
    <w:rsid w:val="000D24A1"/>
    <w:rsid w:val="000D24CD"/>
    <w:rsid w:val="000D2BA7"/>
    <w:rsid w:val="000D5F89"/>
    <w:rsid w:val="000E276C"/>
    <w:rsid w:val="000E457C"/>
    <w:rsid w:val="000E63BF"/>
    <w:rsid w:val="000F626C"/>
    <w:rsid w:val="000F7297"/>
    <w:rsid w:val="0010048E"/>
    <w:rsid w:val="001005B6"/>
    <w:rsid w:val="00100DED"/>
    <w:rsid w:val="00102B0D"/>
    <w:rsid w:val="00104125"/>
    <w:rsid w:val="00104834"/>
    <w:rsid w:val="00104A43"/>
    <w:rsid w:val="00105835"/>
    <w:rsid w:val="00105A74"/>
    <w:rsid w:val="00113C6C"/>
    <w:rsid w:val="00113D05"/>
    <w:rsid w:val="001144D1"/>
    <w:rsid w:val="00114719"/>
    <w:rsid w:val="00116145"/>
    <w:rsid w:val="00120027"/>
    <w:rsid w:val="001242BC"/>
    <w:rsid w:val="001321A3"/>
    <w:rsid w:val="0013381E"/>
    <w:rsid w:val="00134AA3"/>
    <w:rsid w:val="00134B33"/>
    <w:rsid w:val="00135581"/>
    <w:rsid w:val="0014001A"/>
    <w:rsid w:val="00142357"/>
    <w:rsid w:val="001454AF"/>
    <w:rsid w:val="0014556D"/>
    <w:rsid w:val="00147C00"/>
    <w:rsid w:val="00147D57"/>
    <w:rsid w:val="0015034C"/>
    <w:rsid w:val="00152506"/>
    <w:rsid w:val="00154FD1"/>
    <w:rsid w:val="001552F3"/>
    <w:rsid w:val="00156A52"/>
    <w:rsid w:val="0016019F"/>
    <w:rsid w:val="00160B20"/>
    <w:rsid w:val="00162017"/>
    <w:rsid w:val="001645F3"/>
    <w:rsid w:val="00164A35"/>
    <w:rsid w:val="00165D58"/>
    <w:rsid w:val="00166B53"/>
    <w:rsid w:val="001741F8"/>
    <w:rsid w:val="0017709E"/>
    <w:rsid w:val="00182DCE"/>
    <w:rsid w:val="001842C0"/>
    <w:rsid w:val="00184446"/>
    <w:rsid w:val="00184D31"/>
    <w:rsid w:val="0018714A"/>
    <w:rsid w:val="001905AB"/>
    <w:rsid w:val="00193A43"/>
    <w:rsid w:val="0019506D"/>
    <w:rsid w:val="001A1579"/>
    <w:rsid w:val="001A3E0F"/>
    <w:rsid w:val="001A6623"/>
    <w:rsid w:val="001B021E"/>
    <w:rsid w:val="001B080B"/>
    <w:rsid w:val="001B0A00"/>
    <w:rsid w:val="001B1314"/>
    <w:rsid w:val="001B19A4"/>
    <w:rsid w:val="001B3071"/>
    <w:rsid w:val="001B69A7"/>
    <w:rsid w:val="001B6BD5"/>
    <w:rsid w:val="001B7584"/>
    <w:rsid w:val="001C25A4"/>
    <w:rsid w:val="001C3D5F"/>
    <w:rsid w:val="001C6D6F"/>
    <w:rsid w:val="001D2D4D"/>
    <w:rsid w:val="001D3BD7"/>
    <w:rsid w:val="001D4145"/>
    <w:rsid w:val="001D547F"/>
    <w:rsid w:val="001D6941"/>
    <w:rsid w:val="001D694E"/>
    <w:rsid w:val="001E3234"/>
    <w:rsid w:val="001E69C6"/>
    <w:rsid w:val="001F03A7"/>
    <w:rsid w:val="001F0F16"/>
    <w:rsid w:val="001F140D"/>
    <w:rsid w:val="001F7ED7"/>
    <w:rsid w:val="0020033C"/>
    <w:rsid w:val="002040AC"/>
    <w:rsid w:val="002043AF"/>
    <w:rsid w:val="00207803"/>
    <w:rsid w:val="0021181B"/>
    <w:rsid w:val="002128F4"/>
    <w:rsid w:val="00212956"/>
    <w:rsid w:val="00213C81"/>
    <w:rsid w:val="00213F50"/>
    <w:rsid w:val="002153BC"/>
    <w:rsid w:val="002162C0"/>
    <w:rsid w:val="002201D2"/>
    <w:rsid w:val="002328B0"/>
    <w:rsid w:val="00234976"/>
    <w:rsid w:val="002352AC"/>
    <w:rsid w:val="00235B64"/>
    <w:rsid w:val="00241154"/>
    <w:rsid w:val="002413D3"/>
    <w:rsid w:val="00244204"/>
    <w:rsid w:val="00244EF8"/>
    <w:rsid w:val="0024667B"/>
    <w:rsid w:val="0024795C"/>
    <w:rsid w:val="00250531"/>
    <w:rsid w:val="002505D2"/>
    <w:rsid w:val="002524E5"/>
    <w:rsid w:val="002540AF"/>
    <w:rsid w:val="00256F7B"/>
    <w:rsid w:val="00256FE4"/>
    <w:rsid w:val="00261ED6"/>
    <w:rsid w:val="00262823"/>
    <w:rsid w:val="0026447B"/>
    <w:rsid w:val="0026525A"/>
    <w:rsid w:val="00265B89"/>
    <w:rsid w:val="00266B75"/>
    <w:rsid w:val="00271043"/>
    <w:rsid w:val="00272181"/>
    <w:rsid w:val="00274318"/>
    <w:rsid w:val="002754A9"/>
    <w:rsid w:val="00277A05"/>
    <w:rsid w:val="00277AB4"/>
    <w:rsid w:val="00280D17"/>
    <w:rsid w:val="00281976"/>
    <w:rsid w:val="00283DC0"/>
    <w:rsid w:val="002840DD"/>
    <w:rsid w:val="00295532"/>
    <w:rsid w:val="00296DD3"/>
    <w:rsid w:val="002A2543"/>
    <w:rsid w:val="002A2558"/>
    <w:rsid w:val="002A45AB"/>
    <w:rsid w:val="002A569C"/>
    <w:rsid w:val="002A6421"/>
    <w:rsid w:val="002A7D56"/>
    <w:rsid w:val="002B1808"/>
    <w:rsid w:val="002B30C5"/>
    <w:rsid w:val="002B30FC"/>
    <w:rsid w:val="002B4B0D"/>
    <w:rsid w:val="002B6841"/>
    <w:rsid w:val="002B6EF7"/>
    <w:rsid w:val="002C0C0A"/>
    <w:rsid w:val="002C0E92"/>
    <w:rsid w:val="002C2001"/>
    <w:rsid w:val="002C2165"/>
    <w:rsid w:val="002C315E"/>
    <w:rsid w:val="002C3B37"/>
    <w:rsid w:val="002C3C83"/>
    <w:rsid w:val="002C4688"/>
    <w:rsid w:val="002D07A5"/>
    <w:rsid w:val="002D1CA4"/>
    <w:rsid w:val="002D2556"/>
    <w:rsid w:val="002D39D3"/>
    <w:rsid w:val="002D59CF"/>
    <w:rsid w:val="002D5E4D"/>
    <w:rsid w:val="002D6A00"/>
    <w:rsid w:val="002D7174"/>
    <w:rsid w:val="002E6129"/>
    <w:rsid w:val="002E72E2"/>
    <w:rsid w:val="002F133F"/>
    <w:rsid w:val="002F1994"/>
    <w:rsid w:val="002F49F3"/>
    <w:rsid w:val="002F68BD"/>
    <w:rsid w:val="00304AF4"/>
    <w:rsid w:val="003058BB"/>
    <w:rsid w:val="003071F4"/>
    <w:rsid w:val="0031238D"/>
    <w:rsid w:val="003134B9"/>
    <w:rsid w:val="00314127"/>
    <w:rsid w:val="0031598D"/>
    <w:rsid w:val="0031765B"/>
    <w:rsid w:val="00323EAA"/>
    <w:rsid w:val="00326DE6"/>
    <w:rsid w:val="00332695"/>
    <w:rsid w:val="00332D3D"/>
    <w:rsid w:val="00335BB9"/>
    <w:rsid w:val="00340A50"/>
    <w:rsid w:val="00343954"/>
    <w:rsid w:val="00346B98"/>
    <w:rsid w:val="003508B0"/>
    <w:rsid w:val="00356469"/>
    <w:rsid w:val="00361215"/>
    <w:rsid w:val="003623A6"/>
    <w:rsid w:val="00362963"/>
    <w:rsid w:val="00364133"/>
    <w:rsid w:val="0036496D"/>
    <w:rsid w:val="00365300"/>
    <w:rsid w:val="00366050"/>
    <w:rsid w:val="00370D47"/>
    <w:rsid w:val="00374A2A"/>
    <w:rsid w:val="0038430E"/>
    <w:rsid w:val="00384DC9"/>
    <w:rsid w:val="00385271"/>
    <w:rsid w:val="0038652D"/>
    <w:rsid w:val="00391628"/>
    <w:rsid w:val="00392915"/>
    <w:rsid w:val="00392FDA"/>
    <w:rsid w:val="00393911"/>
    <w:rsid w:val="00394B53"/>
    <w:rsid w:val="0039626F"/>
    <w:rsid w:val="00397415"/>
    <w:rsid w:val="003A0D7A"/>
    <w:rsid w:val="003A1255"/>
    <w:rsid w:val="003A13DB"/>
    <w:rsid w:val="003A1C4A"/>
    <w:rsid w:val="003A2BA1"/>
    <w:rsid w:val="003A31CE"/>
    <w:rsid w:val="003A7222"/>
    <w:rsid w:val="003B23FF"/>
    <w:rsid w:val="003C1945"/>
    <w:rsid w:val="003C381E"/>
    <w:rsid w:val="003C66FB"/>
    <w:rsid w:val="003C7F4E"/>
    <w:rsid w:val="003C7F75"/>
    <w:rsid w:val="003D347E"/>
    <w:rsid w:val="003D7194"/>
    <w:rsid w:val="003D7BE0"/>
    <w:rsid w:val="003F1CC8"/>
    <w:rsid w:val="003F1FF4"/>
    <w:rsid w:val="003F2187"/>
    <w:rsid w:val="003F245D"/>
    <w:rsid w:val="003F6625"/>
    <w:rsid w:val="004009CC"/>
    <w:rsid w:val="004010E9"/>
    <w:rsid w:val="0040285F"/>
    <w:rsid w:val="00405741"/>
    <w:rsid w:val="00405A18"/>
    <w:rsid w:val="004118EA"/>
    <w:rsid w:val="00411C85"/>
    <w:rsid w:val="0041222C"/>
    <w:rsid w:val="00412473"/>
    <w:rsid w:val="0041284F"/>
    <w:rsid w:val="004138A8"/>
    <w:rsid w:val="0041726B"/>
    <w:rsid w:val="00423DCD"/>
    <w:rsid w:val="00424B85"/>
    <w:rsid w:val="00425C35"/>
    <w:rsid w:val="00427546"/>
    <w:rsid w:val="00427F0C"/>
    <w:rsid w:val="004307F3"/>
    <w:rsid w:val="004317D1"/>
    <w:rsid w:val="00431EDA"/>
    <w:rsid w:val="00433EAD"/>
    <w:rsid w:val="00434472"/>
    <w:rsid w:val="004349A9"/>
    <w:rsid w:val="00435339"/>
    <w:rsid w:val="0043621D"/>
    <w:rsid w:val="00436C7E"/>
    <w:rsid w:val="0044073A"/>
    <w:rsid w:val="0044082C"/>
    <w:rsid w:val="0044139A"/>
    <w:rsid w:val="00441704"/>
    <w:rsid w:val="00443EB1"/>
    <w:rsid w:val="0044526B"/>
    <w:rsid w:val="00445427"/>
    <w:rsid w:val="00445576"/>
    <w:rsid w:val="004518CA"/>
    <w:rsid w:val="00451CE8"/>
    <w:rsid w:val="00453711"/>
    <w:rsid w:val="00453841"/>
    <w:rsid w:val="00453AA2"/>
    <w:rsid w:val="00457CAE"/>
    <w:rsid w:val="00462F69"/>
    <w:rsid w:val="004632BB"/>
    <w:rsid w:val="004641B9"/>
    <w:rsid w:val="00465D77"/>
    <w:rsid w:val="00465D80"/>
    <w:rsid w:val="004679BA"/>
    <w:rsid w:val="00471561"/>
    <w:rsid w:val="00472E8F"/>
    <w:rsid w:val="004762C3"/>
    <w:rsid w:val="00477832"/>
    <w:rsid w:val="004779B6"/>
    <w:rsid w:val="00481EFE"/>
    <w:rsid w:val="0049731A"/>
    <w:rsid w:val="004A1069"/>
    <w:rsid w:val="004A12D5"/>
    <w:rsid w:val="004A330A"/>
    <w:rsid w:val="004B29F3"/>
    <w:rsid w:val="004B57E6"/>
    <w:rsid w:val="004B6971"/>
    <w:rsid w:val="004C1F23"/>
    <w:rsid w:val="004C31A2"/>
    <w:rsid w:val="004C5C59"/>
    <w:rsid w:val="004D22C1"/>
    <w:rsid w:val="004E064A"/>
    <w:rsid w:val="004E18A6"/>
    <w:rsid w:val="004E6632"/>
    <w:rsid w:val="004E66C4"/>
    <w:rsid w:val="004E6AFD"/>
    <w:rsid w:val="004E7A6E"/>
    <w:rsid w:val="004E7BE3"/>
    <w:rsid w:val="004F4708"/>
    <w:rsid w:val="004F50B0"/>
    <w:rsid w:val="004F5ECE"/>
    <w:rsid w:val="00500B1D"/>
    <w:rsid w:val="0050544E"/>
    <w:rsid w:val="00505FF3"/>
    <w:rsid w:val="005067B5"/>
    <w:rsid w:val="005102E3"/>
    <w:rsid w:val="00511046"/>
    <w:rsid w:val="00511114"/>
    <w:rsid w:val="005122E4"/>
    <w:rsid w:val="00513254"/>
    <w:rsid w:val="0051335E"/>
    <w:rsid w:val="00515709"/>
    <w:rsid w:val="0052000A"/>
    <w:rsid w:val="00521AB6"/>
    <w:rsid w:val="00527CF9"/>
    <w:rsid w:val="00533CC8"/>
    <w:rsid w:val="00533E06"/>
    <w:rsid w:val="00535A76"/>
    <w:rsid w:val="00541249"/>
    <w:rsid w:val="005421DE"/>
    <w:rsid w:val="00551C9E"/>
    <w:rsid w:val="005523F9"/>
    <w:rsid w:val="00554B58"/>
    <w:rsid w:val="00555D27"/>
    <w:rsid w:val="0056032E"/>
    <w:rsid w:val="00560FC1"/>
    <w:rsid w:val="005625B0"/>
    <w:rsid w:val="00565125"/>
    <w:rsid w:val="005657C8"/>
    <w:rsid w:val="005668A3"/>
    <w:rsid w:val="00566ED0"/>
    <w:rsid w:val="0057124E"/>
    <w:rsid w:val="005731D9"/>
    <w:rsid w:val="00574354"/>
    <w:rsid w:val="00575D70"/>
    <w:rsid w:val="00577E51"/>
    <w:rsid w:val="005810E0"/>
    <w:rsid w:val="00581CA5"/>
    <w:rsid w:val="00582EBA"/>
    <w:rsid w:val="00583077"/>
    <w:rsid w:val="005833A5"/>
    <w:rsid w:val="00584830"/>
    <w:rsid w:val="00584CC0"/>
    <w:rsid w:val="00586247"/>
    <w:rsid w:val="00586BE0"/>
    <w:rsid w:val="005902FC"/>
    <w:rsid w:val="00593CEA"/>
    <w:rsid w:val="00596962"/>
    <w:rsid w:val="005A34C8"/>
    <w:rsid w:val="005A6CCA"/>
    <w:rsid w:val="005A7C81"/>
    <w:rsid w:val="005B14BF"/>
    <w:rsid w:val="005B2B09"/>
    <w:rsid w:val="005B3EB5"/>
    <w:rsid w:val="005B5BDD"/>
    <w:rsid w:val="005B66F8"/>
    <w:rsid w:val="005B7EEE"/>
    <w:rsid w:val="005C1BE4"/>
    <w:rsid w:val="005C223C"/>
    <w:rsid w:val="005C3291"/>
    <w:rsid w:val="005C6A75"/>
    <w:rsid w:val="005C768D"/>
    <w:rsid w:val="005D15A8"/>
    <w:rsid w:val="005D29CE"/>
    <w:rsid w:val="005D6820"/>
    <w:rsid w:val="005E0FC3"/>
    <w:rsid w:val="005E13D9"/>
    <w:rsid w:val="005E4C37"/>
    <w:rsid w:val="005E73DD"/>
    <w:rsid w:val="005F33F1"/>
    <w:rsid w:val="005F388B"/>
    <w:rsid w:val="005F5542"/>
    <w:rsid w:val="005F6A3E"/>
    <w:rsid w:val="005F7E82"/>
    <w:rsid w:val="005F7EAB"/>
    <w:rsid w:val="006022EA"/>
    <w:rsid w:val="0060346F"/>
    <w:rsid w:val="00605172"/>
    <w:rsid w:val="00606041"/>
    <w:rsid w:val="00607A0B"/>
    <w:rsid w:val="006118A3"/>
    <w:rsid w:val="006126F3"/>
    <w:rsid w:val="00623309"/>
    <w:rsid w:val="00623BB2"/>
    <w:rsid w:val="00624386"/>
    <w:rsid w:val="006267A9"/>
    <w:rsid w:val="0063074E"/>
    <w:rsid w:val="00632CA5"/>
    <w:rsid w:val="00636AE9"/>
    <w:rsid w:val="00637C9A"/>
    <w:rsid w:val="00644FBA"/>
    <w:rsid w:val="00645D4A"/>
    <w:rsid w:val="0064759C"/>
    <w:rsid w:val="006476D2"/>
    <w:rsid w:val="00647DBA"/>
    <w:rsid w:val="00653FA7"/>
    <w:rsid w:val="00654DED"/>
    <w:rsid w:val="00656591"/>
    <w:rsid w:val="00657E52"/>
    <w:rsid w:val="00660C3E"/>
    <w:rsid w:val="006645EE"/>
    <w:rsid w:val="006677CE"/>
    <w:rsid w:val="00671FF2"/>
    <w:rsid w:val="006721B4"/>
    <w:rsid w:val="00675883"/>
    <w:rsid w:val="00675A21"/>
    <w:rsid w:val="006769FF"/>
    <w:rsid w:val="006778F2"/>
    <w:rsid w:val="0068260B"/>
    <w:rsid w:val="00685CD0"/>
    <w:rsid w:val="006905D8"/>
    <w:rsid w:val="00691CE2"/>
    <w:rsid w:val="00692337"/>
    <w:rsid w:val="0069598C"/>
    <w:rsid w:val="006A00C8"/>
    <w:rsid w:val="006A01FE"/>
    <w:rsid w:val="006A0960"/>
    <w:rsid w:val="006A2745"/>
    <w:rsid w:val="006A6EE1"/>
    <w:rsid w:val="006A7463"/>
    <w:rsid w:val="006B0B10"/>
    <w:rsid w:val="006B28C1"/>
    <w:rsid w:val="006B4D1D"/>
    <w:rsid w:val="006B5FF3"/>
    <w:rsid w:val="006B622E"/>
    <w:rsid w:val="006C0225"/>
    <w:rsid w:val="006C0868"/>
    <w:rsid w:val="006C1A2C"/>
    <w:rsid w:val="006C42D9"/>
    <w:rsid w:val="006C6B47"/>
    <w:rsid w:val="006C6DDC"/>
    <w:rsid w:val="006D0698"/>
    <w:rsid w:val="006D0CCC"/>
    <w:rsid w:val="006D2756"/>
    <w:rsid w:val="006D4A4E"/>
    <w:rsid w:val="006D4A83"/>
    <w:rsid w:val="006D4D2A"/>
    <w:rsid w:val="006E00CF"/>
    <w:rsid w:val="006E0684"/>
    <w:rsid w:val="006E0952"/>
    <w:rsid w:val="006E18A5"/>
    <w:rsid w:val="006E58F1"/>
    <w:rsid w:val="006F33D9"/>
    <w:rsid w:val="006F3DFC"/>
    <w:rsid w:val="006F44B6"/>
    <w:rsid w:val="00706275"/>
    <w:rsid w:val="0070721D"/>
    <w:rsid w:val="00710403"/>
    <w:rsid w:val="00717210"/>
    <w:rsid w:val="0072185E"/>
    <w:rsid w:val="007235E9"/>
    <w:rsid w:val="00724FDD"/>
    <w:rsid w:val="0073251E"/>
    <w:rsid w:val="00733452"/>
    <w:rsid w:val="00733A5E"/>
    <w:rsid w:val="00736563"/>
    <w:rsid w:val="00736644"/>
    <w:rsid w:val="00736A99"/>
    <w:rsid w:val="0074174D"/>
    <w:rsid w:val="00741A6A"/>
    <w:rsid w:val="00742EBB"/>
    <w:rsid w:val="00743EC1"/>
    <w:rsid w:val="007448DA"/>
    <w:rsid w:val="00752C54"/>
    <w:rsid w:val="00753996"/>
    <w:rsid w:val="00753AEA"/>
    <w:rsid w:val="00756B8D"/>
    <w:rsid w:val="00761B3E"/>
    <w:rsid w:val="0076202B"/>
    <w:rsid w:val="0076280F"/>
    <w:rsid w:val="007634BF"/>
    <w:rsid w:val="00767AB2"/>
    <w:rsid w:val="007736A7"/>
    <w:rsid w:val="00775EE1"/>
    <w:rsid w:val="00776986"/>
    <w:rsid w:val="007771E0"/>
    <w:rsid w:val="0078117B"/>
    <w:rsid w:val="007811D9"/>
    <w:rsid w:val="00781B5C"/>
    <w:rsid w:val="00781F7B"/>
    <w:rsid w:val="0078269E"/>
    <w:rsid w:val="0078306F"/>
    <w:rsid w:val="00783C00"/>
    <w:rsid w:val="007911CC"/>
    <w:rsid w:val="007A04D9"/>
    <w:rsid w:val="007B0F24"/>
    <w:rsid w:val="007B19E9"/>
    <w:rsid w:val="007B50F7"/>
    <w:rsid w:val="007B595C"/>
    <w:rsid w:val="007C0104"/>
    <w:rsid w:val="007C05D2"/>
    <w:rsid w:val="007C15DC"/>
    <w:rsid w:val="007C25E9"/>
    <w:rsid w:val="007C28F5"/>
    <w:rsid w:val="007C4F53"/>
    <w:rsid w:val="007C6215"/>
    <w:rsid w:val="007D2879"/>
    <w:rsid w:val="007D3F66"/>
    <w:rsid w:val="007E00FE"/>
    <w:rsid w:val="007E1123"/>
    <w:rsid w:val="007E24F2"/>
    <w:rsid w:val="007E5CC1"/>
    <w:rsid w:val="007E651B"/>
    <w:rsid w:val="007F31DB"/>
    <w:rsid w:val="00800A32"/>
    <w:rsid w:val="00800E41"/>
    <w:rsid w:val="008052DE"/>
    <w:rsid w:val="00805BAE"/>
    <w:rsid w:val="008075EB"/>
    <w:rsid w:val="00811DF3"/>
    <w:rsid w:val="008123C6"/>
    <w:rsid w:val="008125F6"/>
    <w:rsid w:val="0081363B"/>
    <w:rsid w:val="00815845"/>
    <w:rsid w:val="008160ED"/>
    <w:rsid w:val="00817CAD"/>
    <w:rsid w:val="00817E0B"/>
    <w:rsid w:val="00823745"/>
    <w:rsid w:val="00825A54"/>
    <w:rsid w:val="00826297"/>
    <w:rsid w:val="008271AB"/>
    <w:rsid w:val="00835AA0"/>
    <w:rsid w:val="00835FC4"/>
    <w:rsid w:val="00837209"/>
    <w:rsid w:val="0084053F"/>
    <w:rsid w:val="008415D6"/>
    <w:rsid w:val="008431C2"/>
    <w:rsid w:val="00847AC5"/>
    <w:rsid w:val="00853B90"/>
    <w:rsid w:val="0085407A"/>
    <w:rsid w:val="00862A7D"/>
    <w:rsid w:val="0086472E"/>
    <w:rsid w:val="00865FE9"/>
    <w:rsid w:val="00866770"/>
    <w:rsid w:val="00866F06"/>
    <w:rsid w:val="00870068"/>
    <w:rsid w:val="008725C6"/>
    <w:rsid w:val="00876049"/>
    <w:rsid w:val="008800E5"/>
    <w:rsid w:val="00880D1D"/>
    <w:rsid w:val="00881322"/>
    <w:rsid w:val="00881BD1"/>
    <w:rsid w:val="00881C89"/>
    <w:rsid w:val="00882128"/>
    <w:rsid w:val="008829BE"/>
    <w:rsid w:val="00883FF8"/>
    <w:rsid w:val="00885947"/>
    <w:rsid w:val="00891713"/>
    <w:rsid w:val="00891EAA"/>
    <w:rsid w:val="008935C9"/>
    <w:rsid w:val="0089485F"/>
    <w:rsid w:val="00895926"/>
    <w:rsid w:val="0089782D"/>
    <w:rsid w:val="008A15F4"/>
    <w:rsid w:val="008A6C0F"/>
    <w:rsid w:val="008A7576"/>
    <w:rsid w:val="008C0451"/>
    <w:rsid w:val="008C13EE"/>
    <w:rsid w:val="008C1DCF"/>
    <w:rsid w:val="008C5085"/>
    <w:rsid w:val="008C5567"/>
    <w:rsid w:val="008C5732"/>
    <w:rsid w:val="008C6214"/>
    <w:rsid w:val="008D1C13"/>
    <w:rsid w:val="008D316C"/>
    <w:rsid w:val="008D3FDF"/>
    <w:rsid w:val="008D4BC9"/>
    <w:rsid w:val="008D59C6"/>
    <w:rsid w:val="008D68A3"/>
    <w:rsid w:val="008D6E32"/>
    <w:rsid w:val="008D6F83"/>
    <w:rsid w:val="008E35B3"/>
    <w:rsid w:val="008E6E1D"/>
    <w:rsid w:val="008F1D6E"/>
    <w:rsid w:val="008F1F20"/>
    <w:rsid w:val="008F341C"/>
    <w:rsid w:val="008F4137"/>
    <w:rsid w:val="008F4695"/>
    <w:rsid w:val="008F5233"/>
    <w:rsid w:val="008F69B6"/>
    <w:rsid w:val="008F7AF8"/>
    <w:rsid w:val="009011AC"/>
    <w:rsid w:val="0090215F"/>
    <w:rsid w:val="00902DAD"/>
    <w:rsid w:val="00903049"/>
    <w:rsid w:val="0090340E"/>
    <w:rsid w:val="00904070"/>
    <w:rsid w:val="0090450D"/>
    <w:rsid w:val="00905707"/>
    <w:rsid w:val="00905A47"/>
    <w:rsid w:val="00905BD7"/>
    <w:rsid w:val="00914551"/>
    <w:rsid w:val="00914EE4"/>
    <w:rsid w:val="00916FF5"/>
    <w:rsid w:val="00920BDC"/>
    <w:rsid w:val="0092429A"/>
    <w:rsid w:val="009308E1"/>
    <w:rsid w:val="009364E5"/>
    <w:rsid w:val="00937358"/>
    <w:rsid w:val="00947D56"/>
    <w:rsid w:val="0095017B"/>
    <w:rsid w:val="00950C9D"/>
    <w:rsid w:val="00954391"/>
    <w:rsid w:val="00955AE6"/>
    <w:rsid w:val="009560DC"/>
    <w:rsid w:val="0095773C"/>
    <w:rsid w:val="009604BA"/>
    <w:rsid w:val="00962215"/>
    <w:rsid w:val="00962285"/>
    <w:rsid w:val="00963D9D"/>
    <w:rsid w:val="009644E9"/>
    <w:rsid w:val="0096538F"/>
    <w:rsid w:val="0096573D"/>
    <w:rsid w:val="00967C89"/>
    <w:rsid w:val="00973371"/>
    <w:rsid w:val="00975C7B"/>
    <w:rsid w:val="009778D5"/>
    <w:rsid w:val="0098511D"/>
    <w:rsid w:val="00987F84"/>
    <w:rsid w:val="009908A9"/>
    <w:rsid w:val="00993CCC"/>
    <w:rsid w:val="009944AE"/>
    <w:rsid w:val="009A2188"/>
    <w:rsid w:val="009A2E64"/>
    <w:rsid w:val="009A4208"/>
    <w:rsid w:val="009A54C2"/>
    <w:rsid w:val="009A668A"/>
    <w:rsid w:val="009B5CF7"/>
    <w:rsid w:val="009B7F73"/>
    <w:rsid w:val="009C4638"/>
    <w:rsid w:val="009C4655"/>
    <w:rsid w:val="009C4B5E"/>
    <w:rsid w:val="009C5BF1"/>
    <w:rsid w:val="009C6E03"/>
    <w:rsid w:val="009D24B4"/>
    <w:rsid w:val="009D59C6"/>
    <w:rsid w:val="009D6FBC"/>
    <w:rsid w:val="009D7320"/>
    <w:rsid w:val="009E05A0"/>
    <w:rsid w:val="009E12AC"/>
    <w:rsid w:val="009E1EF7"/>
    <w:rsid w:val="009E4951"/>
    <w:rsid w:val="009E6088"/>
    <w:rsid w:val="009E6C10"/>
    <w:rsid w:val="009F4B19"/>
    <w:rsid w:val="009F5F09"/>
    <w:rsid w:val="009F7EC8"/>
    <w:rsid w:val="00A003C2"/>
    <w:rsid w:val="00A00BB2"/>
    <w:rsid w:val="00A01D81"/>
    <w:rsid w:val="00A025E3"/>
    <w:rsid w:val="00A030EE"/>
    <w:rsid w:val="00A032BD"/>
    <w:rsid w:val="00A0495D"/>
    <w:rsid w:val="00A0595D"/>
    <w:rsid w:val="00A0626E"/>
    <w:rsid w:val="00A11EBF"/>
    <w:rsid w:val="00A157C7"/>
    <w:rsid w:val="00A17D95"/>
    <w:rsid w:val="00A17E4B"/>
    <w:rsid w:val="00A22E6F"/>
    <w:rsid w:val="00A25C63"/>
    <w:rsid w:val="00A313A3"/>
    <w:rsid w:val="00A31EE7"/>
    <w:rsid w:val="00A32518"/>
    <w:rsid w:val="00A3289D"/>
    <w:rsid w:val="00A35499"/>
    <w:rsid w:val="00A35D7C"/>
    <w:rsid w:val="00A3697E"/>
    <w:rsid w:val="00A54CE2"/>
    <w:rsid w:val="00A65A46"/>
    <w:rsid w:val="00A67099"/>
    <w:rsid w:val="00A70245"/>
    <w:rsid w:val="00A73D50"/>
    <w:rsid w:val="00A768C9"/>
    <w:rsid w:val="00A76E72"/>
    <w:rsid w:val="00A81E6E"/>
    <w:rsid w:val="00A870F1"/>
    <w:rsid w:val="00A87C59"/>
    <w:rsid w:val="00A9110C"/>
    <w:rsid w:val="00AA1751"/>
    <w:rsid w:val="00AA22E5"/>
    <w:rsid w:val="00AA2DC3"/>
    <w:rsid w:val="00AA435A"/>
    <w:rsid w:val="00AA53EC"/>
    <w:rsid w:val="00AA5A7B"/>
    <w:rsid w:val="00AA6588"/>
    <w:rsid w:val="00AA725F"/>
    <w:rsid w:val="00AA75F4"/>
    <w:rsid w:val="00AA7AF4"/>
    <w:rsid w:val="00AB139F"/>
    <w:rsid w:val="00AB13D4"/>
    <w:rsid w:val="00AB2566"/>
    <w:rsid w:val="00AB38E4"/>
    <w:rsid w:val="00AB4FEB"/>
    <w:rsid w:val="00AC0613"/>
    <w:rsid w:val="00AD7EAD"/>
    <w:rsid w:val="00AE00BC"/>
    <w:rsid w:val="00AE0834"/>
    <w:rsid w:val="00AE09C3"/>
    <w:rsid w:val="00AE2892"/>
    <w:rsid w:val="00AE2A2B"/>
    <w:rsid w:val="00AF14C6"/>
    <w:rsid w:val="00AF1E47"/>
    <w:rsid w:val="00AF26F7"/>
    <w:rsid w:val="00AF2C8A"/>
    <w:rsid w:val="00AF305D"/>
    <w:rsid w:val="00AF47BB"/>
    <w:rsid w:val="00AF6810"/>
    <w:rsid w:val="00AF7418"/>
    <w:rsid w:val="00AF79B0"/>
    <w:rsid w:val="00B006A0"/>
    <w:rsid w:val="00B06D43"/>
    <w:rsid w:val="00B15393"/>
    <w:rsid w:val="00B1752F"/>
    <w:rsid w:val="00B20D3F"/>
    <w:rsid w:val="00B22D45"/>
    <w:rsid w:val="00B2395B"/>
    <w:rsid w:val="00B26DC1"/>
    <w:rsid w:val="00B27E77"/>
    <w:rsid w:val="00B31532"/>
    <w:rsid w:val="00B31752"/>
    <w:rsid w:val="00B3192B"/>
    <w:rsid w:val="00B33249"/>
    <w:rsid w:val="00B3494C"/>
    <w:rsid w:val="00B4060E"/>
    <w:rsid w:val="00B41169"/>
    <w:rsid w:val="00B434A9"/>
    <w:rsid w:val="00B4522D"/>
    <w:rsid w:val="00B45658"/>
    <w:rsid w:val="00B510A7"/>
    <w:rsid w:val="00B52FD9"/>
    <w:rsid w:val="00B54B9B"/>
    <w:rsid w:val="00B56CC0"/>
    <w:rsid w:val="00B609D5"/>
    <w:rsid w:val="00B612D5"/>
    <w:rsid w:val="00B636C8"/>
    <w:rsid w:val="00B727E0"/>
    <w:rsid w:val="00B7366B"/>
    <w:rsid w:val="00B73AD0"/>
    <w:rsid w:val="00B7625C"/>
    <w:rsid w:val="00B77098"/>
    <w:rsid w:val="00B826C2"/>
    <w:rsid w:val="00B90C6C"/>
    <w:rsid w:val="00B94CD0"/>
    <w:rsid w:val="00B969BE"/>
    <w:rsid w:val="00B973CA"/>
    <w:rsid w:val="00BA2563"/>
    <w:rsid w:val="00BA3DC5"/>
    <w:rsid w:val="00BA4C96"/>
    <w:rsid w:val="00BA7311"/>
    <w:rsid w:val="00BA7CC9"/>
    <w:rsid w:val="00BB2934"/>
    <w:rsid w:val="00BB3695"/>
    <w:rsid w:val="00BB62DD"/>
    <w:rsid w:val="00BB6F58"/>
    <w:rsid w:val="00BB7F16"/>
    <w:rsid w:val="00BC1915"/>
    <w:rsid w:val="00BC2995"/>
    <w:rsid w:val="00BC4CA7"/>
    <w:rsid w:val="00BC6470"/>
    <w:rsid w:val="00BD24A7"/>
    <w:rsid w:val="00BD4E2D"/>
    <w:rsid w:val="00BD5ECD"/>
    <w:rsid w:val="00BF0413"/>
    <w:rsid w:val="00BF12E6"/>
    <w:rsid w:val="00BF2897"/>
    <w:rsid w:val="00C01092"/>
    <w:rsid w:val="00C0441A"/>
    <w:rsid w:val="00C04F82"/>
    <w:rsid w:val="00C05140"/>
    <w:rsid w:val="00C063F0"/>
    <w:rsid w:val="00C06596"/>
    <w:rsid w:val="00C06ED5"/>
    <w:rsid w:val="00C114C2"/>
    <w:rsid w:val="00C13DE0"/>
    <w:rsid w:val="00C14F0D"/>
    <w:rsid w:val="00C17CDD"/>
    <w:rsid w:val="00C2473C"/>
    <w:rsid w:val="00C24955"/>
    <w:rsid w:val="00C3011D"/>
    <w:rsid w:val="00C36BC5"/>
    <w:rsid w:val="00C37ED6"/>
    <w:rsid w:val="00C42E05"/>
    <w:rsid w:val="00C43D75"/>
    <w:rsid w:val="00C5361E"/>
    <w:rsid w:val="00C539E3"/>
    <w:rsid w:val="00C55A71"/>
    <w:rsid w:val="00C5789F"/>
    <w:rsid w:val="00C57A81"/>
    <w:rsid w:val="00C66F2A"/>
    <w:rsid w:val="00C67243"/>
    <w:rsid w:val="00C70058"/>
    <w:rsid w:val="00C7049E"/>
    <w:rsid w:val="00C76E03"/>
    <w:rsid w:val="00C80CBE"/>
    <w:rsid w:val="00C82F30"/>
    <w:rsid w:val="00C850DB"/>
    <w:rsid w:val="00C859CB"/>
    <w:rsid w:val="00C9456E"/>
    <w:rsid w:val="00C956BA"/>
    <w:rsid w:val="00C97D94"/>
    <w:rsid w:val="00CA09E3"/>
    <w:rsid w:val="00CA2778"/>
    <w:rsid w:val="00CA419B"/>
    <w:rsid w:val="00CA5B51"/>
    <w:rsid w:val="00CA6C6B"/>
    <w:rsid w:val="00CB1841"/>
    <w:rsid w:val="00CB28DC"/>
    <w:rsid w:val="00CB371E"/>
    <w:rsid w:val="00CB5412"/>
    <w:rsid w:val="00CB5CE7"/>
    <w:rsid w:val="00CB6067"/>
    <w:rsid w:val="00CB6425"/>
    <w:rsid w:val="00CB7E15"/>
    <w:rsid w:val="00CC0624"/>
    <w:rsid w:val="00CC1215"/>
    <w:rsid w:val="00CC1E80"/>
    <w:rsid w:val="00CC1F5F"/>
    <w:rsid w:val="00CC30C3"/>
    <w:rsid w:val="00CC32E0"/>
    <w:rsid w:val="00CC5CFD"/>
    <w:rsid w:val="00CC6240"/>
    <w:rsid w:val="00CC6E16"/>
    <w:rsid w:val="00CC7161"/>
    <w:rsid w:val="00CD0821"/>
    <w:rsid w:val="00CD53F0"/>
    <w:rsid w:val="00CD56AF"/>
    <w:rsid w:val="00CE15D8"/>
    <w:rsid w:val="00CE1C6F"/>
    <w:rsid w:val="00CE248A"/>
    <w:rsid w:val="00CE67AD"/>
    <w:rsid w:val="00CE7713"/>
    <w:rsid w:val="00CF185E"/>
    <w:rsid w:val="00CF2050"/>
    <w:rsid w:val="00CF2357"/>
    <w:rsid w:val="00CF31EB"/>
    <w:rsid w:val="00CF33C9"/>
    <w:rsid w:val="00CF7D8E"/>
    <w:rsid w:val="00D02C2E"/>
    <w:rsid w:val="00D11BDC"/>
    <w:rsid w:val="00D12540"/>
    <w:rsid w:val="00D1684F"/>
    <w:rsid w:val="00D23412"/>
    <w:rsid w:val="00D2365E"/>
    <w:rsid w:val="00D23AF2"/>
    <w:rsid w:val="00D23D65"/>
    <w:rsid w:val="00D24305"/>
    <w:rsid w:val="00D256ED"/>
    <w:rsid w:val="00D312D5"/>
    <w:rsid w:val="00D324BD"/>
    <w:rsid w:val="00D32D10"/>
    <w:rsid w:val="00D33493"/>
    <w:rsid w:val="00D415F9"/>
    <w:rsid w:val="00D447BE"/>
    <w:rsid w:val="00D54AF6"/>
    <w:rsid w:val="00D623A6"/>
    <w:rsid w:val="00D64D05"/>
    <w:rsid w:val="00D651F7"/>
    <w:rsid w:val="00D657CC"/>
    <w:rsid w:val="00D6686A"/>
    <w:rsid w:val="00D67EC7"/>
    <w:rsid w:val="00D700EE"/>
    <w:rsid w:val="00D70B04"/>
    <w:rsid w:val="00D71ED7"/>
    <w:rsid w:val="00D73639"/>
    <w:rsid w:val="00D755F8"/>
    <w:rsid w:val="00D8263F"/>
    <w:rsid w:val="00D85654"/>
    <w:rsid w:val="00D912A3"/>
    <w:rsid w:val="00D93094"/>
    <w:rsid w:val="00D9333E"/>
    <w:rsid w:val="00D95E4F"/>
    <w:rsid w:val="00DA08F1"/>
    <w:rsid w:val="00DA5C86"/>
    <w:rsid w:val="00DA6526"/>
    <w:rsid w:val="00DB00F5"/>
    <w:rsid w:val="00DB054E"/>
    <w:rsid w:val="00DB206A"/>
    <w:rsid w:val="00DB2F42"/>
    <w:rsid w:val="00DB674F"/>
    <w:rsid w:val="00DC10B8"/>
    <w:rsid w:val="00DC1732"/>
    <w:rsid w:val="00DC4393"/>
    <w:rsid w:val="00DC443D"/>
    <w:rsid w:val="00DC4E79"/>
    <w:rsid w:val="00DD103F"/>
    <w:rsid w:val="00DD23A4"/>
    <w:rsid w:val="00DD2B2C"/>
    <w:rsid w:val="00DD3464"/>
    <w:rsid w:val="00DD3FCC"/>
    <w:rsid w:val="00DD5D6C"/>
    <w:rsid w:val="00DD7712"/>
    <w:rsid w:val="00DE1BD2"/>
    <w:rsid w:val="00DE2A84"/>
    <w:rsid w:val="00DE4FDF"/>
    <w:rsid w:val="00DE7A6A"/>
    <w:rsid w:val="00DF112A"/>
    <w:rsid w:val="00DF1C6C"/>
    <w:rsid w:val="00DF771D"/>
    <w:rsid w:val="00E011F9"/>
    <w:rsid w:val="00E01E12"/>
    <w:rsid w:val="00E02CD4"/>
    <w:rsid w:val="00E13D4C"/>
    <w:rsid w:val="00E167E0"/>
    <w:rsid w:val="00E176B0"/>
    <w:rsid w:val="00E20CEA"/>
    <w:rsid w:val="00E24D4A"/>
    <w:rsid w:val="00E279C5"/>
    <w:rsid w:val="00E304B4"/>
    <w:rsid w:val="00E329DD"/>
    <w:rsid w:val="00E36B07"/>
    <w:rsid w:val="00E45BB6"/>
    <w:rsid w:val="00E45BE1"/>
    <w:rsid w:val="00E46614"/>
    <w:rsid w:val="00E47924"/>
    <w:rsid w:val="00E47E17"/>
    <w:rsid w:val="00E50B8C"/>
    <w:rsid w:val="00E5250B"/>
    <w:rsid w:val="00E54715"/>
    <w:rsid w:val="00E55E0A"/>
    <w:rsid w:val="00E6028C"/>
    <w:rsid w:val="00E65ABA"/>
    <w:rsid w:val="00E669B0"/>
    <w:rsid w:val="00E67F3C"/>
    <w:rsid w:val="00E80DC0"/>
    <w:rsid w:val="00E818E7"/>
    <w:rsid w:val="00E84585"/>
    <w:rsid w:val="00E903E1"/>
    <w:rsid w:val="00E91396"/>
    <w:rsid w:val="00E91EA6"/>
    <w:rsid w:val="00E93392"/>
    <w:rsid w:val="00E93422"/>
    <w:rsid w:val="00E9487F"/>
    <w:rsid w:val="00EA33CC"/>
    <w:rsid w:val="00EA3B44"/>
    <w:rsid w:val="00EA3CFA"/>
    <w:rsid w:val="00EA6191"/>
    <w:rsid w:val="00EA7C49"/>
    <w:rsid w:val="00EB0401"/>
    <w:rsid w:val="00EB0991"/>
    <w:rsid w:val="00EB29AA"/>
    <w:rsid w:val="00EB3FFC"/>
    <w:rsid w:val="00EB4698"/>
    <w:rsid w:val="00EC301F"/>
    <w:rsid w:val="00EC748E"/>
    <w:rsid w:val="00EC7BFD"/>
    <w:rsid w:val="00ED3AA1"/>
    <w:rsid w:val="00ED4349"/>
    <w:rsid w:val="00EE073B"/>
    <w:rsid w:val="00EE0CB6"/>
    <w:rsid w:val="00EE1611"/>
    <w:rsid w:val="00EE41D2"/>
    <w:rsid w:val="00EE472D"/>
    <w:rsid w:val="00EE544C"/>
    <w:rsid w:val="00EE55E0"/>
    <w:rsid w:val="00EE7077"/>
    <w:rsid w:val="00EF0818"/>
    <w:rsid w:val="00EF0E64"/>
    <w:rsid w:val="00F00747"/>
    <w:rsid w:val="00F02DB8"/>
    <w:rsid w:val="00F064A1"/>
    <w:rsid w:val="00F129CF"/>
    <w:rsid w:val="00F12A63"/>
    <w:rsid w:val="00F15150"/>
    <w:rsid w:val="00F1785C"/>
    <w:rsid w:val="00F17EF3"/>
    <w:rsid w:val="00F201EA"/>
    <w:rsid w:val="00F23186"/>
    <w:rsid w:val="00F23BAE"/>
    <w:rsid w:val="00F2472E"/>
    <w:rsid w:val="00F26101"/>
    <w:rsid w:val="00F279DA"/>
    <w:rsid w:val="00F303D8"/>
    <w:rsid w:val="00F31512"/>
    <w:rsid w:val="00F32844"/>
    <w:rsid w:val="00F32BF0"/>
    <w:rsid w:val="00F336F2"/>
    <w:rsid w:val="00F34E9E"/>
    <w:rsid w:val="00F35B7A"/>
    <w:rsid w:val="00F37612"/>
    <w:rsid w:val="00F40368"/>
    <w:rsid w:val="00F40C2D"/>
    <w:rsid w:val="00F40F97"/>
    <w:rsid w:val="00F4278A"/>
    <w:rsid w:val="00F43515"/>
    <w:rsid w:val="00F45F4B"/>
    <w:rsid w:val="00F46948"/>
    <w:rsid w:val="00F47888"/>
    <w:rsid w:val="00F52993"/>
    <w:rsid w:val="00F53E80"/>
    <w:rsid w:val="00F55DB7"/>
    <w:rsid w:val="00F5722F"/>
    <w:rsid w:val="00F648BC"/>
    <w:rsid w:val="00F66B57"/>
    <w:rsid w:val="00F673B7"/>
    <w:rsid w:val="00F712CE"/>
    <w:rsid w:val="00F73C42"/>
    <w:rsid w:val="00F806D6"/>
    <w:rsid w:val="00F80F77"/>
    <w:rsid w:val="00F818D4"/>
    <w:rsid w:val="00F824B5"/>
    <w:rsid w:val="00F82B60"/>
    <w:rsid w:val="00F83236"/>
    <w:rsid w:val="00F832FC"/>
    <w:rsid w:val="00F86169"/>
    <w:rsid w:val="00F86439"/>
    <w:rsid w:val="00F909FF"/>
    <w:rsid w:val="00F90B4B"/>
    <w:rsid w:val="00F91ECC"/>
    <w:rsid w:val="00F933E2"/>
    <w:rsid w:val="00F95C18"/>
    <w:rsid w:val="00F96467"/>
    <w:rsid w:val="00FA0849"/>
    <w:rsid w:val="00FA0904"/>
    <w:rsid w:val="00FA19E7"/>
    <w:rsid w:val="00FA63D3"/>
    <w:rsid w:val="00FA6706"/>
    <w:rsid w:val="00FA7758"/>
    <w:rsid w:val="00FB1B43"/>
    <w:rsid w:val="00FB338E"/>
    <w:rsid w:val="00FB3917"/>
    <w:rsid w:val="00FB3EA6"/>
    <w:rsid w:val="00FB563B"/>
    <w:rsid w:val="00FB5C5D"/>
    <w:rsid w:val="00FC0760"/>
    <w:rsid w:val="00FC0F09"/>
    <w:rsid w:val="00FC3E23"/>
    <w:rsid w:val="00FC43AA"/>
    <w:rsid w:val="00FD545D"/>
    <w:rsid w:val="00FD6CBF"/>
    <w:rsid w:val="00FE1050"/>
    <w:rsid w:val="00FE4C38"/>
    <w:rsid w:val="00FE7014"/>
    <w:rsid w:val="00FF04AD"/>
    <w:rsid w:val="00FF0FF9"/>
    <w:rsid w:val="00FF48FD"/>
    <w:rsid w:val="00FF77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F59F9"/>
  <w15:docId w15:val="{389C7E16-C1C3-4CDC-A69A-89870655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D4A"/>
    <w:pPr>
      <w:spacing w:after="200" w:line="276" w:lineRule="auto"/>
    </w:pPr>
    <w:rPr>
      <w:rFonts w:ascii="Times New Roman" w:hAnsi="Times New Roman"/>
      <w:sz w:val="24"/>
      <w:lang w:val="en-US"/>
    </w:rPr>
  </w:style>
  <w:style w:type="paragraph" w:styleId="Heading1">
    <w:name w:val="heading 1"/>
    <w:basedOn w:val="Normal"/>
    <w:next w:val="Normal"/>
    <w:link w:val="Heading1Char"/>
    <w:autoRedefine/>
    <w:uiPriority w:val="9"/>
    <w:qFormat/>
    <w:rsid w:val="00AF26F7"/>
    <w:pPr>
      <w:keepNext/>
      <w:keepLines/>
      <w:shd w:val="clear" w:color="auto" w:fill="FFFFFF" w:themeFill="background1"/>
      <w:spacing w:after="0" w:line="240" w:lineRule="auto"/>
      <w:jc w:val="both"/>
      <w:outlineLvl w:val="0"/>
    </w:pPr>
    <w:rPr>
      <w:rFonts w:eastAsia="Times New Roman"/>
      <w:b/>
      <w:bCs/>
      <w:szCs w:val="24"/>
    </w:rPr>
  </w:style>
  <w:style w:type="paragraph" w:styleId="Heading2">
    <w:name w:val="heading 2"/>
    <w:basedOn w:val="Heading3"/>
    <w:next w:val="Heading3"/>
    <w:link w:val="Heading2Char"/>
    <w:autoRedefine/>
    <w:uiPriority w:val="9"/>
    <w:unhideWhenUsed/>
    <w:qFormat/>
    <w:rsid w:val="00AB13D4"/>
    <w:pPr>
      <w:numPr>
        <w:ilvl w:val="1"/>
        <w:numId w:val="3"/>
      </w:numPr>
      <w:shd w:val="clear" w:color="auto" w:fill="FFFFFF" w:themeFill="background1"/>
      <w:spacing w:before="0" w:line="240" w:lineRule="auto"/>
      <w:ind w:left="810" w:hanging="810"/>
      <w:jc w:val="both"/>
      <w:outlineLvl w:val="1"/>
    </w:pPr>
    <w:rPr>
      <w:rFonts w:cs="Times New Roman"/>
      <w:bCs/>
    </w:rPr>
  </w:style>
  <w:style w:type="paragraph" w:styleId="Heading3">
    <w:name w:val="heading 3"/>
    <w:basedOn w:val="Normal"/>
    <w:next w:val="Normal"/>
    <w:link w:val="Heading3Char"/>
    <w:uiPriority w:val="9"/>
    <w:unhideWhenUsed/>
    <w:qFormat/>
    <w:rsid w:val="00645D4A"/>
    <w:pPr>
      <w:keepNext/>
      <w:keepLines/>
      <w:numPr>
        <w:ilvl w:val="2"/>
        <w:numId w:val="2"/>
      </w:numPr>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autoRedefine/>
    <w:uiPriority w:val="9"/>
    <w:unhideWhenUsed/>
    <w:qFormat/>
    <w:rsid w:val="00AA53EC"/>
    <w:pPr>
      <w:keepNext/>
      <w:keepLines/>
      <w:spacing w:after="0" w:line="23" w:lineRule="atLeast"/>
      <w:jc w:val="both"/>
      <w:outlineLvl w:val="3"/>
    </w:pPr>
    <w:rPr>
      <w:rFonts w:asciiTheme="majorBidi" w:eastAsia="Times New Roman" w:hAnsiTheme="majorBidi" w:cstheme="majorBidi"/>
      <w:b/>
      <w:bCs/>
      <w:iCs/>
      <w:color w:val="000000" w:themeColor="text1"/>
      <w:sz w:val="22"/>
      <w:lang w:val="en-GB" w:eastAsia="en-GB"/>
    </w:rPr>
  </w:style>
  <w:style w:type="paragraph" w:styleId="Heading5">
    <w:name w:val="heading 5"/>
    <w:basedOn w:val="Normal"/>
    <w:next w:val="Normal"/>
    <w:link w:val="Heading5Char"/>
    <w:uiPriority w:val="9"/>
    <w:unhideWhenUsed/>
    <w:qFormat/>
    <w:rsid w:val="00645D4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45D4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45D4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45D4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5D4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pter1">
    <w:name w:val="Chapter 1:"/>
    <w:uiPriority w:val="99"/>
    <w:rsid w:val="00866F06"/>
    <w:pPr>
      <w:numPr>
        <w:numId w:val="1"/>
      </w:numPr>
    </w:pPr>
  </w:style>
  <w:style w:type="character" w:customStyle="1" w:styleId="Heading1Char">
    <w:name w:val="Heading 1 Char"/>
    <w:basedOn w:val="DefaultParagraphFont"/>
    <w:link w:val="Heading1"/>
    <w:uiPriority w:val="9"/>
    <w:rsid w:val="00AF26F7"/>
    <w:rPr>
      <w:rFonts w:ascii="Times New Roman" w:eastAsia="Times New Roman" w:hAnsi="Times New Roman"/>
      <w:b/>
      <w:bCs/>
      <w:sz w:val="24"/>
      <w:szCs w:val="24"/>
      <w:shd w:val="clear" w:color="auto" w:fill="FFFFFF" w:themeFill="background1"/>
      <w:lang w:val="en-US"/>
    </w:rPr>
  </w:style>
  <w:style w:type="character" w:customStyle="1" w:styleId="Heading2Char">
    <w:name w:val="Heading 2 Char"/>
    <w:basedOn w:val="DefaultParagraphFont"/>
    <w:link w:val="Heading2"/>
    <w:uiPriority w:val="9"/>
    <w:rsid w:val="00AB13D4"/>
    <w:rPr>
      <w:rFonts w:ascii="Times New Roman" w:eastAsiaTheme="majorEastAsia" w:hAnsi="Times New Roman" w:cs="Times New Roman"/>
      <w:b/>
      <w:bCs/>
      <w:color w:val="000000" w:themeColor="text1"/>
      <w:sz w:val="24"/>
      <w:szCs w:val="24"/>
      <w:shd w:val="clear" w:color="auto" w:fill="FFFFFF" w:themeFill="background1"/>
      <w:lang w:val="en-US"/>
    </w:rPr>
  </w:style>
  <w:style w:type="character" w:customStyle="1" w:styleId="Heading3Char">
    <w:name w:val="Heading 3 Char"/>
    <w:basedOn w:val="DefaultParagraphFont"/>
    <w:link w:val="Heading3"/>
    <w:uiPriority w:val="9"/>
    <w:rsid w:val="00645D4A"/>
    <w:rPr>
      <w:rFonts w:ascii="Times New Roman" w:eastAsiaTheme="majorEastAsia" w:hAnsi="Times New Roman" w:cstheme="majorBidi"/>
      <w:b/>
      <w:color w:val="000000" w:themeColor="text1"/>
      <w:sz w:val="24"/>
      <w:szCs w:val="24"/>
      <w:lang w:val="en-US"/>
    </w:rPr>
  </w:style>
  <w:style w:type="character" w:customStyle="1" w:styleId="Heading4Char">
    <w:name w:val="Heading 4 Char"/>
    <w:basedOn w:val="DefaultParagraphFont"/>
    <w:link w:val="Heading4"/>
    <w:uiPriority w:val="9"/>
    <w:rsid w:val="00AA53EC"/>
    <w:rPr>
      <w:rFonts w:asciiTheme="majorBidi" w:eastAsia="Times New Roman" w:hAnsiTheme="majorBidi" w:cstheme="majorBidi"/>
      <w:b/>
      <w:bCs/>
      <w:iCs/>
      <w:color w:val="000000" w:themeColor="text1"/>
      <w:lang w:eastAsia="en-GB"/>
    </w:rPr>
  </w:style>
  <w:style w:type="character" w:customStyle="1" w:styleId="Heading5Char">
    <w:name w:val="Heading 5 Char"/>
    <w:basedOn w:val="DefaultParagraphFont"/>
    <w:link w:val="Heading5"/>
    <w:uiPriority w:val="9"/>
    <w:rsid w:val="00645D4A"/>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rsid w:val="00645D4A"/>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645D4A"/>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645D4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45D4A"/>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645D4A"/>
    <w:pPr>
      <w:ind w:left="720"/>
      <w:contextualSpacing/>
    </w:pPr>
  </w:style>
  <w:style w:type="paragraph" w:customStyle="1" w:styleId="Default">
    <w:name w:val="Default"/>
    <w:rsid w:val="00645D4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uiPriority w:val="99"/>
    <w:unhideWhenUsed/>
    <w:rsid w:val="00645D4A"/>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645D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45D4A"/>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645D4A"/>
    <w:rPr>
      <w:color w:val="0563C1" w:themeColor="hyperlink"/>
      <w:u w:val="single"/>
    </w:rPr>
  </w:style>
  <w:style w:type="character" w:customStyle="1" w:styleId="UnresolvedMention1">
    <w:name w:val="Unresolved Mention1"/>
    <w:basedOn w:val="DefaultParagraphFont"/>
    <w:uiPriority w:val="99"/>
    <w:semiHidden/>
    <w:unhideWhenUsed/>
    <w:rsid w:val="008A6C0F"/>
    <w:rPr>
      <w:color w:val="605E5C"/>
      <w:shd w:val="clear" w:color="auto" w:fill="E1DFDD"/>
    </w:rPr>
  </w:style>
  <w:style w:type="character" w:customStyle="1" w:styleId="apple-converted-space">
    <w:name w:val="apple-converted-space"/>
    <w:basedOn w:val="DefaultParagraphFont"/>
    <w:rsid w:val="005B66F8"/>
  </w:style>
  <w:style w:type="character" w:customStyle="1" w:styleId="mixed-citation">
    <w:name w:val="mixed-citation"/>
    <w:basedOn w:val="DefaultParagraphFont"/>
    <w:rsid w:val="005B66F8"/>
  </w:style>
  <w:style w:type="character" w:customStyle="1" w:styleId="ref-title">
    <w:name w:val="ref-title"/>
    <w:basedOn w:val="DefaultParagraphFont"/>
    <w:rsid w:val="005B66F8"/>
  </w:style>
  <w:style w:type="character" w:customStyle="1" w:styleId="ref-journal">
    <w:name w:val="ref-journal"/>
    <w:basedOn w:val="DefaultParagraphFont"/>
    <w:rsid w:val="005B66F8"/>
  </w:style>
  <w:style w:type="character" w:customStyle="1" w:styleId="ref-vol">
    <w:name w:val="ref-vol"/>
    <w:basedOn w:val="DefaultParagraphFont"/>
    <w:rsid w:val="005B66F8"/>
  </w:style>
  <w:style w:type="character" w:styleId="Emphasis">
    <w:name w:val="Emphasis"/>
    <w:basedOn w:val="DefaultParagraphFont"/>
    <w:uiPriority w:val="20"/>
    <w:qFormat/>
    <w:rsid w:val="005B66F8"/>
    <w:rPr>
      <w:i/>
      <w:iCs/>
    </w:rPr>
  </w:style>
  <w:style w:type="paragraph" w:styleId="Header">
    <w:name w:val="header"/>
    <w:basedOn w:val="Normal"/>
    <w:link w:val="HeaderChar"/>
    <w:uiPriority w:val="99"/>
    <w:unhideWhenUsed/>
    <w:rsid w:val="00164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5F3"/>
    <w:rPr>
      <w:rFonts w:ascii="Times New Roman" w:hAnsi="Times New Roman"/>
      <w:sz w:val="24"/>
      <w:lang w:val="en-US"/>
    </w:rPr>
  </w:style>
  <w:style w:type="paragraph" w:styleId="Footer">
    <w:name w:val="footer"/>
    <w:basedOn w:val="Normal"/>
    <w:link w:val="FooterChar"/>
    <w:uiPriority w:val="99"/>
    <w:unhideWhenUsed/>
    <w:rsid w:val="00164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5F3"/>
    <w:rPr>
      <w:rFonts w:ascii="Times New Roman" w:hAnsi="Times New Roman"/>
      <w:sz w:val="24"/>
      <w:lang w:val="en-US"/>
    </w:rPr>
  </w:style>
  <w:style w:type="paragraph" w:styleId="FootnoteText">
    <w:name w:val="footnote text"/>
    <w:basedOn w:val="Normal"/>
    <w:link w:val="FootnoteTextChar"/>
    <w:uiPriority w:val="99"/>
    <w:unhideWhenUsed/>
    <w:rsid w:val="00256F7B"/>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256F7B"/>
    <w:rPr>
      <w:rFonts w:eastAsiaTheme="minorEastAsia"/>
      <w:sz w:val="20"/>
      <w:szCs w:val="20"/>
      <w:lang w:val="en-US"/>
    </w:rPr>
  </w:style>
  <w:style w:type="character" w:styleId="FootnoteReference">
    <w:name w:val="footnote reference"/>
    <w:basedOn w:val="DefaultParagraphFont"/>
    <w:uiPriority w:val="99"/>
    <w:unhideWhenUsed/>
    <w:rsid w:val="00256F7B"/>
    <w:rPr>
      <w:vertAlign w:val="superscript"/>
    </w:rPr>
  </w:style>
  <w:style w:type="paragraph" w:styleId="NoSpacing">
    <w:name w:val="No Spacing"/>
    <w:link w:val="NoSpacingChar"/>
    <w:uiPriority w:val="1"/>
    <w:qFormat/>
    <w:rsid w:val="00A062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626E"/>
    <w:rPr>
      <w:rFonts w:eastAsiaTheme="minorEastAsia"/>
      <w:lang w:val="en-US"/>
    </w:rPr>
  </w:style>
  <w:style w:type="paragraph" w:styleId="BalloonText">
    <w:name w:val="Balloon Text"/>
    <w:basedOn w:val="Normal"/>
    <w:link w:val="BalloonTextChar"/>
    <w:uiPriority w:val="99"/>
    <w:semiHidden/>
    <w:unhideWhenUsed/>
    <w:rsid w:val="00A0626E"/>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0626E"/>
    <w:rPr>
      <w:rFonts w:ascii="Tahoma" w:hAnsi="Tahoma" w:cs="Tahoma"/>
      <w:sz w:val="16"/>
      <w:szCs w:val="16"/>
    </w:rPr>
  </w:style>
  <w:style w:type="character" w:styleId="SubtleEmphasis">
    <w:name w:val="Subtle Emphasis"/>
    <w:basedOn w:val="DefaultParagraphFont"/>
    <w:uiPriority w:val="19"/>
    <w:qFormat/>
    <w:rsid w:val="00A0626E"/>
    <w:rPr>
      <w:i/>
      <w:iCs/>
      <w:color w:val="808080" w:themeColor="text1" w:themeTint="7F"/>
    </w:rPr>
  </w:style>
  <w:style w:type="paragraph" w:styleId="Bibliography">
    <w:name w:val="Bibliography"/>
    <w:basedOn w:val="Normal"/>
    <w:next w:val="Normal"/>
    <w:uiPriority w:val="37"/>
    <w:unhideWhenUsed/>
    <w:rsid w:val="00A0626E"/>
    <w:rPr>
      <w:rFonts w:asciiTheme="minorHAnsi" w:hAnsiTheme="minorHAnsi"/>
      <w:sz w:val="22"/>
      <w:lang w:val="en-GB"/>
    </w:rPr>
  </w:style>
  <w:style w:type="paragraph" w:styleId="TOCHeading">
    <w:name w:val="TOC Heading"/>
    <w:basedOn w:val="Heading1"/>
    <w:next w:val="Normal"/>
    <w:uiPriority w:val="39"/>
    <w:unhideWhenUsed/>
    <w:qFormat/>
    <w:rsid w:val="00A0626E"/>
    <w:pPr>
      <w:spacing w:before="480"/>
      <w:jc w:val="left"/>
      <w:outlineLvl w:val="9"/>
    </w:pPr>
    <w:rPr>
      <w:rFonts w:asciiTheme="majorHAnsi" w:eastAsiaTheme="majorEastAsia" w:hAnsiTheme="majorHAnsi"/>
      <w:bCs w:val="0"/>
      <w:color w:val="2F5496" w:themeColor="accent1" w:themeShade="BF"/>
      <w:sz w:val="28"/>
      <w:szCs w:val="28"/>
    </w:rPr>
  </w:style>
  <w:style w:type="paragraph" w:styleId="TOC1">
    <w:name w:val="toc 1"/>
    <w:basedOn w:val="Normal"/>
    <w:next w:val="Normal"/>
    <w:autoRedefine/>
    <w:uiPriority w:val="39"/>
    <w:unhideWhenUsed/>
    <w:rsid w:val="00A0626E"/>
    <w:pPr>
      <w:spacing w:after="100"/>
    </w:pPr>
    <w:rPr>
      <w:rFonts w:asciiTheme="minorHAnsi" w:hAnsiTheme="minorHAnsi"/>
      <w:sz w:val="22"/>
      <w:lang w:val="en-GB"/>
    </w:rPr>
  </w:style>
  <w:style w:type="paragraph" w:styleId="TOC2">
    <w:name w:val="toc 2"/>
    <w:basedOn w:val="Normal"/>
    <w:next w:val="Normal"/>
    <w:autoRedefine/>
    <w:uiPriority w:val="39"/>
    <w:unhideWhenUsed/>
    <w:rsid w:val="00A0626E"/>
    <w:pPr>
      <w:spacing w:after="100"/>
      <w:ind w:left="220"/>
    </w:pPr>
    <w:rPr>
      <w:rFonts w:asciiTheme="minorHAnsi" w:hAnsiTheme="minorHAnsi"/>
      <w:sz w:val="22"/>
      <w:lang w:val="en-GB"/>
    </w:rPr>
  </w:style>
  <w:style w:type="paragraph" w:styleId="TOC3">
    <w:name w:val="toc 3"/>
    <w:basedOn w:val="Normal"/>
    <w:next w:val="Normal"/>
    <w:autoRedefine/>
    <w:uiPriority w:val="39"/>
    <w:unhideWhenUsed/>
    <w:rsid w:val="00A0626E"/>
    <w:pPr>
      <w:spacing w:after="100"/>
      <w:ind w:left="440"/>
    </w:pPr>
    <w:rPr>
      <w:rFonts w:asciiTheme="minorHAnsi" w:hAnsiTheme="minorHAnsi"/>
      <w:sz w:val="22"/>
      <w:lang w:val="en-GB"/>
    </w:rPr>
  </w:style>
  <w:style w:type="table" w:customStyle="1" w:styleId="LightShading1">
    <w:name w:val="Light Shading1"/>
    <w:basedOn w:val="TableNormal"/>
    <w:uiPriority w:val="60"/>
    <w:rsid w:val="00A062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062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0626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CommentReference">
    <w:name w:val="annotation reference"/>
    <w:basedOn w:val="DefaultParagraphFont"/>
    <w:uiPriority w:val="99"/>
    <w:semiHidden/>
    <w:unhideWhenUsed/>
    <w:rsid w:val="00A0626E"/>
    <w:rPr>
      <w:sz w:val="16"/>
      <w:szCs w:val="16"/>
    </w:rPr>
  </w:style>
  <w:style w:type="paragraph" w:styleId="CommentText">
    <w:name w:val="annotation text"/>
    <w:basedOn w:val="Normal"/>
    <w:link w:val="CommentTextChar"/>
    <w:uiPriority w:val="99"/>
    <w:semiHidden/>
    <w:unhideWhenUsed/>
    <w:rsid w:val="00A0626E"/>
    <w:pPr>
      <w:spacing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A0626E"/>
    <w:rPr>
      <w:sz w:val="20"/>
      <w:szCs w:val="20"/>
    </w:rPr>
  </w:style>
  <w:style w:type="paragraph" w:styleId="CommentSubject">
    <w:name w:val="annotation subject"/>
    <w:basedOn w:val="CommentText"/>
    <w:next w:val="CommentText"/>
    <w:link w:val="CommentSubjectChar"/>
    <w:uiPriority w:val="99"/>
    <w:semiHidden/>
    <w:unhideWhenUsed/>
    <w:rsid w:val="00A0626E"/>
    <w:rPr>
      <w:b/>
      <w:bCs/>
    </w:rPr>
  </w:style>
  <w:style w:type="character" w:customStyle="1" w:styleId="CommentSubjectChar">
    <w:name w:val="Comment Subject Char"/>
    <w:basedOn w:val="CommentTextChar"/>
    <w:link w:val="CommentSubject"/>
    <w:uiPriority w:val="99"/>
    <w:semiHidden/>
    <w:rsid w:val="00A0626E"/>
    <w:rPr>
      <w:b/>
      <w:bCs/>
      <w:sz w:val="20"/>
      <w:szCs w:val="20"/>
    </w:rPr>
  </w:style>
  <w:style w:type="character" w:styleId="Strong">
    <w:name w:val="Strong"/>
    <w:basedOn w:val="DefaultParagraphFont"/>
    <w:uiPriority w:val="22"/>
    <w:qFormat/>
    <w:rsid w:val="00A0626E"/>
    <w:rPr>
      <w:b/>
      <w:bCs/>
    </w:rPr>
  </w:style>
  <w:style w:type="character" w:customStyle="1" w:styleId="a-size-large">
    <w:name w:val="a-size-large"/>
    <w:basedOn w:val="DefaultParagraphFont"/>
    <w:rsid w:val="00A0626E"/>
  </w:style>
  <w:style w:type="character" w:customStyle="1" w:styleId="a-size-medium">
    <w:name w:val="a-size-medium"/>
    <w:basedOn w:val="DefaultParagraphFont"/>
    <w:rsid w:val="00A0626E"/>
  </w:style>
  <w:style w:type="character" w:customStyle="1" w:styleId="a-color-secondary">
    <w:name w:val="a-color-secondary"/>
    <w:basedOn w:val="DefaultParagraphFont"/>
    <w:rsid w:val="00A0626E"/>
  </w:style>
  <w:style w:type="character" w:styleId="PlaceholderText">
    <w:name w:val="Placeholder Text"/>
    <w:basedOn w:val="DefaultParagraphFont"/>
    <w:uiPriority w:val="99"/>
    <w:semiHidden/>
    <w:rsid w:val="00A0626E"/>
    <w:rPr>
      <w:color w:val="808080"/>
    </w:rPr>
  </w:style>
  <w:style w:type="table" w:styleId="MediumList2-Accent1">
    <w:name w:val="Medium List 2 Accent 1"/>
    <w:basedOn w:val="TableNormal"/>
    <w:uiPriority w:val="66"/>
    <w:rsid w:val="00A062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A0626E"/>
    <w:pPr>
      <w:spacing w:after="0" w:line="240" w:lineRule="auto"/>
    </w:pPr>
    <w:rPr>
      <w:rFonts w:asciiTheme="minorHAnsi" w:hAnsiTheme="minorHAnsi"/>
      <w:sz w:val="20"/>
      <w:szCs w:val="20"/>
      <w:lang w:val="en-GB"/>
    </w:rPr>
  </w:style>
  <w:style w:type="character" w:customStyle="1" w:styleId="EndnoteTextChar">
    <w:name w:val="Endnote Text Char"/>
    <w:basedOn w:val="DefaultParagraphFont"/>
    <w:link w:val="EndnoteText"/>
    <w:uiPriority w:val="99"/>
    <w:semiHidden/>
    <w:rsid w:val="00A0626E"/>
    <w:rPr>
      <w:sz w:val="20"/>
      <w:szCs w:val="20"/>
    </w:rPr>
  </w:style>
  <w:style w:type="character" w:styleId="EndnoteReference">
    <w:name w:val="endnote reference"/>
    <w:basedOn w:val="DefaultParagraphFont"/>
    <w:uiPriority w:val="99"/>
    <w:semiHidden/>
    <w:unhideWhenUsed/>
    <w:rsid w:val="00A0626E"/>
    <w:rPr>
      <w:vertAlign w:val="superscript"/>
    </w:rPr>
  </w:style>
  <w:style w:type="character" w:customStyle="1" w:styleId="go">
    <w:name w:val="go"/>
    <w:basedOn w:val="DefaultParagraphFont"/>
    <w:rsid w:val="00A0626E"/>
  </w:style>
  <w:style w:type="paragraph" w:styleId="Caption">
    <w:name w:val="caption"/>
    <w:basedOn w:val="Normal"/>
    <w:next w:val="Normal"/>
    <w:uiPriority w:val="35"/>
    <w:unhideWhenUsed/>
    <w:qFormat/>
    <w:rsid w:val="00A0626E"/>
    <w:pPr>
      <w:spacing w:line="240" w:lineRule="auto"/>
    </w:pPr>
    <w:rPr>
      <w:rFonts w:asciiTheme="minorHAnsi" w:hAnsiTheme="minorHAnsi"/>
      <w:b/>
      <w:bCs/>
      <w:color w:val="4472C4" w:themeColor="accent1"/>
      <w:sz w:val="18"/>
      <w:szCs w:val="18"/>
      <w:lang w:val="en-GB"/>
    </w:rPr>
  </w:style>
  <w:style w:type="character" w:customStyle="1" w:styleId="st">
    <w:name w:val="st"/>
    <w:basedOn w:val="DefaultParagraphFont"/>
    <w:rsid w:val="00A0626E"/>
  </w:style>
  <w:style w:type="character" w:customStyle="1" w:styleId="fn">
    <w:name w:val="fn"/>
    <w:basedOn w:val="DefaultParagraphFont"/>
    <w:rsid w:val="00A0626E"/>
  </w:style>
  <w:style w:type="table" w:customStyle="1" w:styleId="PlainTable21">
    <w:name w:val="Plain Table 21"/>
    <w:basedOn w:val="TableNormal"/>
    <w:uiPriority w:val="42"/>
    <w:rsid w:val="009644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
    <w:uiPriority w:val="99"/>
    <w:rsid w:val="0076202B"/>
    <w:pPr>
      <w:spacing w:after="0" w:line="240" w:lineRule="auto"/>
      <w:jc w:val="center"/>
    </w:pPr>
    <w:rPr>
      <w:rFonts w:ascii="Lucida Handwriting" w:eastAsia="Times New Roman" w:hAnsi="Lucida Handwriting" w:cs="Times New Roman"/>
      <w:b/>
      <w:sz w:val="32"/>
      <w:szCs w:val="20"/>
    </w:rPr>
  </w:style>
  <w:style w:type="character" w:customStyle="1" w:styleId="BodyTextIndentChar">
    <w:name w:val="Body Text Indent Char"/>
    <w:basedOn w:val="DefaultParagraphFont"/>
    <w:link w:val="BodyTextIndent"/>
    <w:uiPriority w:val="99"/>
    <w:rsid w:val="0076202B"/>
    <w:rPr>
      <w:rFonts w:ascii="Lucida Handwriting" w:eastAsia="Times New Roman" w:hAnsi="Lucida Handwriting" w:cs="Times New Roman"/>
      <w:b/>
      <w:sz w:val="32"/>
      <w:szCs w:val="20"/>
      <w:lang w:val="en-US"/>
    </w:rPr>
  </w:style>
  <w:style w:type="paragraph" w:styleId="Title">
    <w:name w:val="Title"/>
    <w:basedOn w:val="Normal"/>
    <w:link w:val="TitleChar"/>
    <w:qFormat/>
    <w:rsid w:val="00F303D8"/>
    <w:pPr>
      <w:spacing w:after="0" w:line="240" w:lineRule="auto"/>
      <w:jc w:val="center"/>
    </w:pPr>
    <w:rPr>
      <w:rFonts w:ascii="Lucida Handwriting" w:eastAsia="Times New Roman" w:hAnsi="Lucida Handwriting" w:cs="Times New Roman"/>
      <w:b/>
      <w:sz w:val="56"/>
      <w:szCs w:val="20"/>
      <w:u w:val="single"/>
    </w:rPr>
  </w:style>
  <w:style w:type="character" w:customStyle="1" w:styleId="TitleChar">
    <w:name w:val="Title Char"/>
    <w:basedOn w:val="DefaultParagraphFont"/>
    <w:link w:val="Title"/>
    <w:uiPriority w:val="99"/>
    <w:rsid w:val="00F303D8"/>
    <w:rPr>
      <w:rFonts w:ascii="Lucida Handwriting" w:eastAsia="Times New Roman" w:hAnsi="Lucida Handwriting" w:cs="Times New Roman"/>
      <w:b/>
      <w:sz w:val="56"/>
      <w:szCs w:val="20"/>
      <w:u w:val="single"/>
      <w:lang w:val="en-US"/>
    </w:rPr>
  </w:style>
  <w:style w:type="paragraph" w:styleId="Revision">
    <w:name w:val="Revision"/>
    <w:hidden/>
    <w:uiPriority w:val="99"/>
    <w:semiHidden/>
    <w:rsid w:val="002E6129"/>
    <w:pPr>
      <w:spacing w:after="0" w:line="240" w:lineRule="auto"/>
      <w:ind w:firstLine="567"/>
      <w:jc w:val="both"/>
    </w:pPr>
    <w:rPr>
      <w:rFonts w:ascii="Calibri" w:eastAsia="Calibri" w:hAnsi="Calibri" w:cs="Calibri"/>
      <w:sz w:val="24"/>
      <w:szCs w:val="24"/>
      <w:lang w:val="en-US"/>
    </w:rPr>
  </w:style>
  <w:style w:type="character" w:customStyle="1" w:styleId="il">
    <w:name w:val="il"/>
    <w:basedOn w:val="DefaultParagraphFont"/>
    <w:rsid w:val="002E6129"/>
  </w:style>
  <w:style w:type="character" w:customStyle="1" w:styleId="authors">
    <w:name w:val="authors"/>
    <w:basedOn w:val="DefaultParagraphFont"/>
    <w:rsid w:val="002E6129"/>
  </w:style>
  <w:style w:type="character" w:customStyle="1" w:styleId="Date1">
    <w:name w:val="Date1"/>
    <w:basedOn w:val="DefaultParagraphFont"/>
    <w:rsid w:val="002E6129"/>
  </w:style>
  <w:style w:type="character" w:customStyle="1" w:styleId="arttitle">
    <w:name w:val="art_title"/>
    <w:basedOn w:val="DefaultParagraphFont"/>
    <w:rsid w:val="002E6129"/>
  </w:style>
  <w:style w:type="character" w:customStyle="1" w:styleId="serialtitle">
    <w:name w:val="serial_title"/>
    <w:basedOn w:val="DefaultParagraphFont"/>
    <w:rsid w:val="002E6129"/>
  </w:style>
  <w:style w:type="character" w:customStyle="1" w:styleId="volumeissue">
    <w:name w:val="volume_issue"/>
    <w:basedOn w:val="DefaultParagraphFont"/>
    <w:rsid w:val="002E6129"/>
  </w:style>
  <w:style w:type="character" w:customStyle="1" w:styleId="doilink">
    <w:name w:val="doi_link"/>
    <w:basedOn w:val="DefaultParagraphFont"/>
    <w:rsid w:val="002E6129"/>
  </w:style>
  <w:style w:type="character" w:styleId="FollowedHyperlink">
    <w:name w:val="FollowedHyperlink"/>
    <w:basedOn w:val="DefaultParagraphFont"/>
    <w:uiPriority w:val="99"/>
    <w:semiHidden/>
    <w:unhideWhenUsed/>
    <w:rsid w:val="002E6129"/>
    <w:rPr>
      <w:color w:val="954F72" w:themeColor="followedHyperlink"/>
      <w:u w:val="single"/>
    </w:rPr>
  </w:style>
  <w:style w:type="paragraph" w:styleId="Subtitle">
    <w:name w:val="Subtitle"/>
    <w:basedOn w:val="Normal"/>
    <w:next w:val="Normal"/>
    <w:link w:val="SubtitleChar"/>
    <w:uiPriority w:val="11"/>
    <w:qFormat/>
    <w:rsid w:val="002E6129"/>
    <w:pPr>
      <w:keepNext/>
      <w:keepLines/>
      <w:spacing w:before="360" w:after="80" w:line="360" w:lineRule="auto"/>
      <w:ind w:firstLine="567"/>
      <w:contextualSpacing/>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E6129"/>
    <w:rPr>
      <w:rFonts w:ascii="Georgia" w:eastAsia="Georgia" w:hAnsi="Georgia" w:cs="Georgia"/>
      <w:i/>
      <w:color w:val="666666"/>
      <w:sz w:val="48"/>
      <w:szCs w:val="48"/>
      <w:lang w:val="en-US"/>
    </w:rPr>
  </w:style>
  <w:style w:type="table" w:styleId="LightShading">
    <w:name w:val="Light Shading"/>
    <w:basedOn w:val="TableNormal"/>
    <w:uiPriority w:val="60"/>
    <w:rsid w:val="002E6129"/>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2">
    <w:name w:val="Unresolved Mention2"/>
    <w:basedOn w:val="DefaultParagraphFont"/>
    <w:uiPriority w:val="99"/>
    <w:semiHidden/>
    <w:unhideWhenUsed/>
    <w:rsid w:val="002E6129"/>
    <w:rPr>
      <w:color w:val="605E5C"/>
      <w:shd w:val="clear" w:color="auto" w:fill="E1DFDD"/>
    </w:rPr>
  </w:style>
  <w:style w:type="paragraph" w:customStyle="1" w:styleId="List1">
    <w:name w:val="List1"/>
    <w:basedOn w:val="Normal"/>
    <w:uiPriority w:val="99"/>
    <w:semiHidden/>
    <w:rsid w:val="00F909FF"/>
    <w:pPr>
      <w:spacing w:before="100" w:beforeAutospacing="1" w:after="100" w:afterAutospacing="1" w:line="240" w:lineRule="auto"/>
    </w:pPr>
    <w:rPr>
      <w:rFonts w:eastAsiaTheme="minorEastAsia" w:cs="Times New Roman"/>
      <w:szCs w:val="24"/>
    </w:rPr>
  </w:style>
  <w:style w:type="paragraph" w:customStyle="1" w:styleId="EndNoteBibliographyTitle">
    <w:name w:val="EndNote Bibliography Title"/>
    <w:basedOn w:val="Normal"/>
    <w:link w:val="EndNoteBibliographyTitleChar"/>
    <w:rsid w:val="00F909FF"/>
    <w:pPr>
      <w:spacing w:after="0"/>
      <w:jc w:val="center"/>
    </w:pPr>
    <w:rPr>
      <w:rFonts w:ascii="Calibri" w:eastAsia="Times New Roman" w:hAnsi="Calibri" w:cs="Calibri"/>
      <w:noProof/>
      <w:szCs w:val="24"/>
    </w:rPr>
  </w:style>
  <w:style w:type="character" w:customStyle="1" w:styleId="NormalWebChar">
    <w:name w:val="Normal (Web) Char"/>
    <w:basedOn w:val="DefaultParagraphFont"/>
    <w:link w:val="NormalWeb"/>
    <w:uiPriority w:val="99"/>
    <w:rsid w:val="00F909FF"/>
    <w:rPr>
      <w:rFonts w:ascii="Times New Roman" w:eastAsia="Times New Roman" w:hAnsi="Times New Roman" w:cs="Times New Roman"/>
      <w:sz w:val="24"/>
      <w:szCs w:val="24"/>
      <w:lang w:val="en-US"/>
    </w:rPr>
  </w:style>
  <w:style w:type="character" w:customStyle="1" w:styleId="EndNoteBibliographyTitleChar">
    <w:name w:val="EndNote Bibliography Title Char"/>
    <w:basedOn w:val="NormalWebChar"/>
    <w:link w:val="EndNoteBibliographyTitle"/>
    <w:rsid w:val="00F909FF"/>
    <w:rPr>
      <w:rFonts w:ascii="Calibri" w:eastAsia="Times New Roman" w:hAnsi="Calibri" w:cs="Calibri"/>
      <w:noProof/>
      <w:sz w:val="24"/>
      <w:szCs w:val="24"/>
      <w:lang w:val="en-US"/>
    </w:rPr>
  </w:style>
  <w:style w:type="paragraph" w:customStyle="1" w:styleId="EndNoteBibliography">
    <w:name w:val="EndNote Bibliography"/>
    <w:basedOn w:val="Normal"/>
    <w:link w:val="EndNoteBibliographyChar"/>
    <w:rsid w:val="00F909FF"/>
    <w:pPr>
      <w:spacing w:line="240" w:lineRule="auto"/>
    </w:pPr>
    <w:rPr>
      <w:rFonts w:ascii="Calibri" w:eastAsia="Times New Roman" w:hAnsi="Calibri" w:cs="Calibri"/>
      <w:noProof/>
      <w:szCs w:val="24"/>
    </w:rPr>
  </w:style>
  <w:style w:type="character" w:customStyle="1" w:styleId="EndNoteBibliographyChar">
    <w:name w:val="EndNote Bibliography Char"/>
    <w:basedOn w:val="NormalWebChar"/>
    <w:link w:val="EndNoteBibliography"/>
    <w:rsid w:val="00F909FF"/>
    <w:rPr>
      <w:rFonts w:ascii="Calibri" w:eastAsia="Times New Roman" w:hAnsi="Calibri" w:cs="Calibri"/>
      <w:noProof/>
      <w:sz w:val="24"/>
      <w:szCs w:val="24"/>
      <w:lang w:val="en-US"/>
    </w:rPr>
  </w:style>
  <w:style w:type="table" w:styleId="PlainTable2">
    <w:name w:val="Plain Table 2"/>
    <w:basedOn w:val="TableNormal"/>
    <w:uiPriority w:val="42"/>
    <w:rsid w:val="00F909FF"/>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A030EE"/>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030EE"/>
    <w:rPr>
      <w:rFonts w:ascii="Times New Roman" w:hAnsi="Times New Roman" w:cs="Times New Roman" w:hint="default"/>
      <w:b w:val="0"/>
      <w:bCs w:val="0"/>
      <w:i/>
      <w:iCs/>
      <w:color w:val="000000"/>
      <w:sz w:val="24"/>
      <w:szCs w:val="24"/>
    </w:rPr>
  </w:style>
  <w:style w:type="paragraph" w:customStyle="1" w:styleId="Articletitle">
    <w:name w:val="Article title"/>
    <w:basedOn w:val="Normal"/>
    <w:next w:val="Normal"/>
    <w:qFormat/>
    <w:rsid w:val="001F140D"/>
    <w:pPr>
      <w:spacing w:after="120" w:line="360" w:lineRule="auto"/>
    </w:pPr>
    <w:rPr>
      <w:rFonts w:eastAsia="Times New Roman" w:cs="Times New Roman"/>
      <w:b/>
      <w:sz w:val="28"/>
      <w:szCs w:val="24"/>
      <w:lang w:val="en-GB" w:eastAsia="en-GB"/>
    </w:rPr>
  </w:style>
  <w:style w:type="character" w:customStyle="1" w:styleId="UnresolvedMention3">
    <w:name w:val="Unresolved Mention3"/>
    <w:basedOn w:val="DefaultParagraphFont"/>
    <w:uiPriority w:val="99"/>
    <w:semiHidden/>
    <w:unhideWhenUsed/>
    <w:rsid w:val="001F140D"/>
    <w:rPr>
      <w:color w:val="605E5C"/>
      <w:shd w:val="clear" w:color="auto" w:fill="E1DFDD"/>
    </w:rPr>
  </w:style>
  <w:style w:type="paragraph" w:customStyle="1" w:styleId="Affiliation">
    <w:name w:val="Affiliation"/>
    <w:basedOn w:val="Normal"/>
    <w:qFormat/>
    <w:rsid w:val="00733452"/>
    <w:pPr>
      <w:spacing w:before="240" w:after="0" w:line="360" w:lineRule="auto"/>
    </w:pPr>
    <w:rPr>
      <w:rFonts w:eastAsia="Times New Roman" w:cs="Times New Roman"/>
      <w:i/>
      <w:szCs w:val="24"/>
      <w:lang w:val="en-GB" w:eastAsia="en-GB"/>
    </w:rPr>
  </w:style>
  <w:style w:type="paragraph" w:customStyle="1" w:styleId="Abstract">
    <w:name w:val="Abstract"/>
    <w:basedOn w:val="Normal"/>
    <w:next w:val="Normal"/>
    <w:qFormat/>
    <w:rsid w:val="00733452"/>
    <w:pPr>
      <w:spacing w:before="360" w:after="300" w:line="360" w:lineRule="auto"/>
      <w:ind w:left="720" w:right="567"/>
    </w:pPr>
    <w:rPr>
      <w:rFonts w:eastAsia="Times New Roman" w:cs="Times New Roman"/>
      <w:sz w:val="22"/>
      <w:szCs w:val="24"/>
      <w:lang w:val="en-GB" w:eastAsia="en-GB"/>
    </w:rPr>
  </w:style>
  <w:style w:type="paragraph" w:customStyle="1" w:styleId="Newparagraph">
    <w:name w:val="New paragraph"/>
    <w:basedOn w:val="Normal"/>
    <w:qFormat/>
    <w:rsid w:val="00062544"/>
    <w:pPr>
      <w:spacing w:after="0" w:line="480" w:lineRule="auto"/>
      <w:ind w:firstLine="720"/>
    </w:pPr>
    <w:rPr>
      <w:rFonts w:eastAsia="Times New Roman" w:cs="Times New Roman"/>
      <w:szCs w:val="24"/>
      <w:lang w:val="en-GB" w:eastAsia="en-GB"/>
    </w:rPr>
  </w:style>
  <w:style w:type="paragraph" w:customStyle="1" w:styleId="Notesoncontributors">
    <w:name w:val="Notes on contributors"/>
    <w:basedOn w:val="Normal"/>
    <w:qFormat/>
    <w:rsid w:val="00062544"/>
    <w:pPr>
      <w:spacing w:before="240" w:after="0" w:line="360" w:lineRule="auto"/>
    </w:pPr>
    <w:rPr>
      <w:rFonts w:eastAsia="Times New Roman" w:cs="Times New Roman"/>
      <w:sz w:val="22"/>
      <w:szCs w:val="24"/>
      <w:lang w:val="en-GB" w:eastAsia="en-GB"/>
    </w:rPr>
  </w:style>
  <w:style w:type="paragraph" w:customStyle="1" w:styleId="Figurecaption">
    <w:name w:val="Figure caption"/>
    <w:basedOn w:val="Normal"/>
    <w:next w:val="Normal"/>
    <w:qFormat/>
    <w:rsid w:val="00062544"/>
    <w:pPr>
      <w:spacing w:before="240" w:after="0" w:line="360" w:lineRule="auto"/>
    </w:pPr>
    <w:rPr>
      <w:rFonts w:eastAsia="Times New Roman" w:cs="Times New Roman"/>
      <w:szCs w:val="24"/>
      <w:lang w:val="en-GB" w:eastAsia="en-GB"/>
    </w:rPr>
  </w:style>
  <w:style w:type="paragraph" w:customStyle="1" w:styleId="Paragraph">
    <w:name w:val="Paragraph"/>
    <w:basedOn w:val="Normal"/>
    <w:next w:val="Newparagraph"/>
    <w:qFormat/>
    <w:rsid w:val="00453841"/>
    <w:pPr>
      <w:widowControl w:val="0"/>
      <w:spacing w:before="240" w:after="0" w:line="480" w:lineRule="auto"/>
    </w:pPr>
    <w:rPr>
      <w:rFonts w:eastAsia="Times New Roman" w:cs="Times New Roman"/>
      <w:szCs w:val="24"/>
      <w:lang w:val="en-GB" w:eastAsia="en-GB"/>
    </w:rPr>
  </w:style>
  <w:style w:type="paragraph" w:customStyle="1" w:styleId="Tabletitle">
    <w:name w:val="Table title"/>
    <w:basedOn w:val="Normal"/>
    <w:next w:val="Normal"/>
    <w:qFormat/>
    <w:rsid w:val="009D7320"/>
    <w:pPr>
      <w:spacing w:before="240" w:after="0" w:line="360" w:lineRule="auto"/>
    </w:pPr>
    <w:rPr>
      <w:rFonts w:eastAsia="Times New Roman" w:cs="Times New Roman"/>
      <w:szCs w:val="24"/>
      <w:lang w:val="en-GB" w:eastAsia="en-GB"/>
    </w:rPr>
  </w:style>
  <w:style w:type="table" w:customStyle="1" w:styleId="Rafi">
    <w:name w:val="Rafi"/>
    <w:basedOn w:val="TableNormal"/>
    <w:uiPriority w:val="99"/>
    <w:rsid w:val="009D7320"/>
    <w:pPr>
      <w:spacing w:after="0" w:line="240" w:lineRule="auto"/>
      <w:jc w:val="center"/>
    </w:pPr>
    <w:rPr>
      <w:rFonts w:ascii="Times New Roman" w:hAnsi="Times New Roman"/>
      <w:sz w:val="24"/>
      <w:lang w:val="en-US" w:bidi="ur-PK"/>
    </w:rPr>
    <w:tblPr/>
    <w:tcPr>
      <w:vAlign w:val="center"/>
    </w:tcPr>
    <w:tblStylePr w:type="firstRow">
      <w:pPr>
        <w:jc w:val="center"/>
      </w:pPr>
      <w:rPr>
        <w:rFonts w:ascii="Times New Roman" w:hAnsi="Times New Roman"/>
        <w:sz w:val="24"/>
      </w:rPr>
      <w:tblPr/>
      <w:tcPr>
        <w:tcBorders>
          <w:top w:val="single" w:sz="4" w:space="0" w:color="auto"/>
          <w:left w:val="nil"/>
          <w:bottom w:val="single" w:sz="4" w:space="0" w:color="auto"/>
          <w:right w:val="nil"/>
          <w:insideH w:val="nil"/>
          <w:insideV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pPr>
        <w:jc w:val="left"/>
      </w:pPr>
      <w:rPr>
        <w:rFonts w:ascii="Times New Roman" w:hAnsi="Times New Roman"/>
        <w:sz w:val="24"/>
      </w:rPr>
      <w:tblPr/>
      <w:tcPr>
        <w:vAlign w:val="top"/>
      </w:tcPr>
    </w:tblStylePr>
  </w:style>
  <w:style w:type="table" w:customStyle="1" w:styleId="PlainTable22">
    <w:name w:val="Plain Table 22"/>
    <w:basedOn w:val="TableNormal"/>
    <w:uiPriority w:val="42"/>
    <w:rsid w:val="000779A2"/>
    <w:pPr>
      <w:spacing w:after="0" w:line="240" w:lineRule="auto"/>
    </w:pPr>
    <w:rPr>
      <w:rFonts w:ascii="Times New Roman" w:eastAsia="Times New Roman" w:hAnsi="Times New Roman" w:cs="Times New Roman"/>
      <w:sz w:val="20"/>
      <w:szCs w:val="20"/>
      <w:lang w:val="en-US" w:bidi="ur-PK"/>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semiHidden/>
    <w:unhideWhenUsed/>
    <w:rsid w:val="009C5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C5BF1"/>
    <w:rPr>
      <w:rFonts w:ascii="Courier New" w:eastAsia="Times New Roman" w:hAnsi="Courier New" w:cs="Courier New"/>
      <w:sz w:val="20"/>
      <w:szCs w:val="20"/>
      <w:lang w:eastAsia="en-GB"/>
    </w:rPr>
  </w:style>
  <w:style w:type="character" w:customStyle="1" w:styleId="y2iqfc">
    <w:name w:val="y2iqfc"/>
    <w:basedOn w:val="DefaultParagraphFont"/>
    <w:rsid w:val="009C5BF1"/>
  </w:style>
  <w:style w:type="paragraph" w:customStyle="1" w:styleId="small">
    <w:name w:val="small"/>
    <w:basedOn w:val="Normal"/>
    <w:rsid w:val="008829BE"/>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99"/>
    <w:semiHidden/>
    <w:unhideWhenUsed/>
    <w:rsid w:val="008123C6"/>
    <w:pPr>
      <w:spacing w:after="120"/>
    </w:pPr>
  </w:style>
  <w:style w:type="character" w:customStyle="1" w:styleId="BodyTextChar">
    <w:name w:val="Body Text Char"/>
    <w:basedOn w:val="DefaultParagraphFont"/>
    <w:link w:val="BodyText"/>
    <w:uiPriority w:val="99"/>
    <w:semiHidden/>
    <w:rsid w:val="008123C6"/>
    <w:rPr>
      <w:rFonts w:ascii="Times New Roman" w:hAnsi="Times New Roman"/>
      <w:sz w:val="24"/>
      <w:lang w:val="en-US"/>
    </w:rPr>
  </w:style>
  <w:style w:type="paragraph" w:customStyle="1" w:styleId="TableParagraph">
    <w:name w:val="Table Paragraph"/>
    <w:basedOn w:val="Normal"/>
    <w:uiPriority w:val="1"/>
    <w:qFormat/>
    <w:rsid w:val="008123C6"/>
    <w:pPr>
      <w:widowControl w:val="0"/>
      <w:autoSpaceDE w:val="0"/>
      <w:autoSpaceDN w:val="0"/>
      <w:spacing w:after="0" w:line="240" w:lineRule="auto"/>
    </w:pPr>
    <w:rPr>
      <w:rFonts w:eastAsia="Times New Roman" w:cs="Times New Roman"/>
      <w:sz w:val="22"/>
    </w:rPr>
  </w:style>
  <w:style w:type="character" w:styleId="UnresolvedMention">
    <w:name w:val="Unresolved Mention"/>
    <w:basedOn w:val="DefaultParagraphFont"/>
    <w:uiPriority w:val="99"/>
    <w:semiHidden/>
    <w:unhideWhenUsed/>
    <w:rsid w:val="00E903E1"/>
    <w:rPr>
      <w:color w:val="605E5C"/>
      <w:shd w:val="clear" w:color="auto" w:fill="E1DFDD"/>
    </w:rPr>
  </w:style>
  <w:style w:type="table" w:customStyle="1" w:styleId="TableGrid1">
    <w:name w:val="Table Grid1"/>
    <w:basedOn w:val="TableNormal"/>
    <w:next w:val="TableGrid"/>
    <w:uiPriority w:val="39"/>
    <w:rsid w:val="00F32BF0"/>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5835"/>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D694E"/>
  </w:style>
  <w:style w:type="table" w:customStyle="1" w:styleId="TableGrid0">
    <w:name w:val="TableGrid"/>
    <w:rsid w:val="00DD7712"/>
    <w:pPr>
      <w:spacing w:after="0" w:line="240" w:lineRule="auto"/>
    </w:pPr>
    <w:rPr>
      <w:rFonts w:eastAsiaTheme="minorEastAsia"/>
      <w:lang w:val="en-US"/>
    </w:rPr>
    <w:tblPr>
      <w:tblCellMar>
        <w:top w:w="0" w:type="dxa"/>
        <w:left w:w="0" w:type="dxa"/>
        <w:bottom w:w="0" w:type="dxa"/>
        <w:right w:w="0" w:type="dxa"/>
      </w:tblCellMar>
    </w:tblPr>
  </w:style>
  <w:style w:type="table" w:styleId="PlainTable1">
    <w:name w:val="Plain Table 1"/>
    <w:basedOn w:val="TableNormal"/>
    <w:uiPriority w:val="41"/>
    <w:rsid w:val="00DD7712"/>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DD7712"/>
    <w:pPr>
      <w:spacing w:after="0" w:line="240" w:lineRule="auto"/>
    </w:pPr>
    <w:rPr>
      <w:lang w:val="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0">
    <w:name w:val="TableGrid1"/>
    <w:rsid w:val="00DD7712"/>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234">
      <w:bodyDiv w:val="1"/>
      <w:marLeft w:val="0"/>
      <w:marRight w:val="0"/>
      <w:marTop w:val="0"/>
      <w:marBottom w:val="0"/>
      <w:divBdr>
        <w:top w:val="none" w:sz="0" w:space="0" w:color="auto"/>
        <w:left w:val="none" w:sz="0" w:space="0" w:color="auto"/>
        <w:bottom w:val="none" w:sz="0" w:space="0" w:color="auto"/>
        <w:right w:val="none" w:sz="0" w:space="0" w:color="auto"/>
      </w:divBdr>
    </w:div>
    <w:div w:id="116527272">
      <w:bodyDiv w:val="1"/>
      <w:marLeft w:val="0"/>
      <w:marRight w:val="0"/>
      <w:marTop w:val="0"/>
      <w:marBottom w:val="0"/>
      <w:divBdr>
        <w:top w:val="none" w:sz="0" w:space="0" w:color="auto"/>
        <w:left w:val="none" w:sz="0" w:space="0" w:color="auto"/>
        <w:bottom w:val="none" w:sz="0" w:space="0" w:color="auto"/>
        <w:right w:val="none" w:sz="0" w:space="0" w:color="auto"/>
      </w:divBdr>
      <w:divsChild>
        <w:div w:id="1367943540">
          <w:marLeft w:val="0"/>
          <w:marRight w:val="0"/>
          <w:marTop w:val="0"/>
          <w:marBottom w:val="0"/>
          <w:divBdr>
            <w:top w:val="none" w:sz="0" w:space="0" w:color="auto"/>
            <w:left w:val="none" w:sz="0" w:space="0" w:color="auto"/>
            <w:bottom w:val="none" w:sz="0" w:space="0" w:color="auto"/>
            <w:right w:val="none" w:sz="0" w:space="0" w:color="auto"/>
          </w:divBdr>
        </w:div>
      </w:divsChild>
    </w:div>
    <w:div w:id="148835922">
      <w:bodyDiv w:val="1"/>
      <w:marLeft w:val="0"/>
      <w:marRight w:val="0"/>
      <w:marTop w:val="0"/>
      <w:marBottom w:val="0"/>
      <w:divBdr>
        <w:top w:val="none" w:sz="0" w:space="0" w:color="auto"/>
        <w:left w:val="none" w:sz="0" w:space="0" w:color="auto"/>
        <w:bottom w:val="none" w:sz="0" w:space="0" w:color="auto"/>
        <w:right w:val="none" w:sz="0" w:space="0" w:color="auto"/>
      </w:divBdr>
    </w:div>
    <w:div w:id="164521823">
      <w:bodyDiv w:val="1"/>
      <w:marLeft w:val="0"/>
      <w:marRight w:val="0"/>
      <w:marTop w:val="0"/>
      <w:marBottom w:val="0"/>
      <w:divBdr>
        <w:top w:val="none" w:sz="0" w:space="0" w:color="auto"/>
        <w:left w:val="none" w:sz="0" w:space="0" w:color="auto"/>
        <w:bottom w:val="none" w:sz="0" w:space="0" w:color="auto"/>
        <w:right w:val="none" w:sz="0" w:space="0" w:color="auto"/>
      </w:divBdr>
    </w:div>
    <w:div w:id="185599436">
      <w:bodyDiv w:val="1"/>
      <w:marLeft w:val="0"/>
      <w:marRight w:val="0"/>
      <w:marTop w:val="0"/>
      <w:marBottom w:val="0"/>
      <w:divBdr>
        <w:top w:val="none" w:sz="0" w:space="0" w:color="auto"/>
        <w:left w:val="none" w:sz="0" w:space="0" w:color="auto"/>
        <w:bottom w:val="none" w:sz="0" w:space="0" w:color="auto"/>
        <w:right w:val="none" w:sz="0" w:space="0" w:color="auto"/>
      </w:divBdr>
    </w:div>
    <w:div w:id="271285007">
      <w:bodyDiv w:val="1"/>
      <w:marLeft w:val="0"/>
      <w:marRight w:val="0"/>
      <w:marTop w:val="0"/>
      <w:marBottom w:val="0"/>
      <w:divBdr>
        <w:top w:val="none" w:sz="0" w:space="0" w:color="auto"/>
        <w:left w:val="none" w:sz="0" w:space="0" w:color="auto"/>
        <w:bottom w:val="none" w:sz="0" w:space="0" w:color="auto"/>
        <w:right w:val="none" w:sz="0" w:space="0" w:color="auto"/>
      </w:divBdr>
    </w:div>
    <w:div w:id="310214171">
      <w:bodyDiv w:val="1"/>
      <w:marLeft w:val="0"/>
      <w:marRight w:val="0"/>
      <w:marTop w:val="0"/>
      <w:marBottom w:val="0"/>
      <w:divBdr>
        <w:top w:val="none" w:sz="0" w:space="0" w:color="auto"/>
        <w:left w:val="none" w:sz="0" w:space="0" w:color="auto"/>
        <w:bottom w:val="none" w:sz="0" w:space="0" w:color="auto"/>
        <w:right w:val="none" w:sz="0" w:space="0" w:color="auto"/>
      </w:divBdr>
    </w:div>
    <w:div w:id="315694613">
      <w:bodyDiv w:val="1"/>
      <w:marLeft w:val="0"/>
      <w:marRight w:val="0"/>
      <w:marTop w:val="0"/>
      <w:marBottom w:val="0"/>
      <w:divBdr>
        <w:top w:val="none" w:sz="0" w:space="0" w:color="auto"/>
        <w:left w:val="none" w:sz="0" w:space="0" w:color="auto"/>
        <w:bottom w:val="none" w:sz="0" w:space="0" w:color="auto"/>
        <w:right w:val="none" w:sz="0" w:space="0" w:color="auto"/>
      </w:divBdr>
    </w:div>
    <w:div w:id="359940639">
      <w:bodyDiv w:val="1"/>
      <w:marLeft w:val="0"/>
      <w:marRight w:val="0"/>
      <w:marTop w:val="0"/>
      <w:marBottom w:val="0"/>
      <w:divBdr>
        <w:top w:val="none" w:sz="0" w:space="0" w:color="auto"/>
        <w:left w:val="none" w:sz="0" w:space="0" w:color="auto"/>
        <w:bottom w:val="none" w:sz="0" w:space="0" w:color="auto"/>
        <w:right w:val="none" w:sz="0" w:space="0" w:color="auto"/>
      </w:divBdr>
    </w:div>
    <w:div w:id="361321571">
      <w:bodyDiv w:val="1"/>
      <w:marLeft w:val="0"/>
      <w:marRight w:val="0"/>
      <w:marTop w:val="0"/>
      <w:marBottom w:val="0"/>
      <w:divBdr>
        <w:top w:val="none" w:sz="0" w:space="0" w:color="auto"/>
        <w:left w:val="none" w:sz="0" w:space="0" w:color="auto"/>
        <w:bottom w:val="none" w:sz="0" w:space="0" w:color="auto"/>
        <w:right w:val="none" w:sz="0" w:space="0" w:color="auto"/>
      </w:divBdr>
    </w:div>
    <w:div w:id="395322044">
      <w:bodyDiv w:val="1"/>
      <w:marLeft w:val="0"/>
      <w:marRight w:val="0"/>
      <w:marTop w:val="0"/>
      <w:marBottom w:val="0"/>
      <w:divBdr>
        <w:top w:val="none" w:sz="0" w:space="0" w:color="auto"/>
        <w:left w:val="none" w:sz="0" w:space="0" w:color="auto"/>
        <w:bottom w:val="none" w:sz="0" w:space="0" w:color="auto"/>
        <w:right w:val="none" w:sz="0" w:space="0" w:color="auto"/>
      </w:divBdr>
    </w:div>
    <w:div w:id="445777873">
      <w:bodyDiv w:val="1"/>
      <w:marLeft w:val="0"/>
      <w:marRight w:val="0"/>
      <w:marTop w:val="0"/>
      <w:marBottom w:val="0"/>
      <w:divBdr>
        <w:top w:val="none" w:sz="0" w:space="0" w:color="auto"/>
        <w:left w:val="none" w:sz="0" w:space="0" w:color="auto"/>
        <w:bottom w:val="none" w:sz="0" w:space="0" w:color="auto"/>
        <w:right w:val="none" w:sz="0" w:space="0" w:color="auto"/>
      </w:divBdr>
    </w:div>
    <w:div w:id="515659597">
      <w:bodyDiv w:val="1"/>
      <w:marLeft w:val="0"/>
      <w:marRight w:val="0"/>
      <w:marTop w:val="0"/>
      <w:marBottom w:val="0"/>
      <w:divBdr>
        <w:top w:val="none" w:sz="0" w:space="0" w:color="auto"/>
        <w:left w:val="none" w:sz="0" w:space="0" w:color="auto"/>
        <w:bottom w:val="none" w:sz="0" w:space="0" w:color="auto"/>
        <w:right w:val="none" w:sz="0" w:space="0" w:color="auto"/>
      </w:divBdr>
      <w:divsChild>
        <w:div w:id="137915415">
          <w:marLeft w:val="0"/>
          <w:marRight w:val="0"/>
          <w:marTop w:val="0"/>
          <w:marBottom w:val="0"/>
          <w:divBdr>
            <w:top w:val="none" w:sz="0" w:space="0" w:color="auto"/>
            <w:left w:val="none" w:sz="0" w:space="0" w:color="auto"/>
            <w:bottom w:val="none" w:sz="0" w:space="0" w:color="auto"/>
            <w:right w:val="none" w:sz="0" w:space="0" w:color="auto"/>
          </w:divBdr>
        </w:div>
      </w:divsChild>
    </w:div>
    <w:div w:id="550118716">
      <w:bodyDiv w:val="1"/>
      <w:marLeft w:val="0"/>
      <w:marRight w:val="0"/>
      <w:marTop w:val="0"/>
      <w:marBottom w:val="0"/>
      <w:divBdr>
        <w:top w:val="none" w:sz="0" w:space="0" w:color="auto"/>
        <w:left w:val="none" w:sz="0" w:space="0" w:color="auto"/>
        <w:bottom w:val="none" w:sz="0" w:space="0" w:color="auto"/>
        <w:right w:val="none" w:sz="0" w:space="0" w:color="auto"/>
      </w:divBdr>
    </w:div>
    <w:div w:id="579097931">
      <w:bodyDiv w:val="1"/>
      <w:marLeft w:val="0"/>
      <w:marRight w:val="0"/>
      <w:marTop w:val="0"/>
      <w:marBottom w:val="0"/>
      <w:divBdr>
        <w:top w:val="none" w:sz="0" w:space="0" w:color="auto"/>
        <w:left w:val="none" w:sz="0" w:space="0" w:color="auto"/>
        <w:bottom w:val="none" w:sz="0" w:space="0" w:color="auto"/>
        <w:right w:val="none" w:sz="0" w:space="0" w:color="auto"/>
      </w:divBdr>
    </w:div>
    <w:div w:id="603146790">
      <w:bodyDiv w:val="1"/>
      <w:marLeft w:val="0"/>
      <w:marRight w:val="0"/>
      <w:marTop w:val="0"/>
      <w:marBottom w:val="0"/>
      <w:divBdr>
        <w:top w:val="none" w:sz="0" w:space="0" w:color="auto"/>
        <w:left w:val="none" w:sz="0" w:space="0" w:color="auto"/>
        <w:bottom w:val="none" w:sz="0" w:space="0" w:color="auto"/>
        <w:right w:val="none" w:sz="0" w:space="0" w:color="auto"/>
      </w:divBdr>
    </w:div>
    <w:div w:id="720833974">
      <w:bodyDiv w:val="1"/>
      <w:marLeft w:val="0"/>
      <w:marRight w:val="0"/>
      <w:marTop w:val="0"/>
      <w:marBottom w:val="0"/>
      <w:divBdr>
        <w:top w:val="none" w:sz="0" w:space="0" w:color="auto"/>
        <w:left w:val="none" w:sz="0" w:space="0" w:color="auto"/>
        <w:bottom w:val="none" w:sz="0" w:space="0" w:color="auto"/>
        <w:right w:val="none" w:sz="0" w:space="0" w:color="auto"/>
      </w:divBdr>
    </w:div>
    <w:div w:id="746148834">
      <w:bodyDiv w:val="1"/>
      <w:marLeft w:val="0"/>
      <w:marRight w:val="0"/>
      <w:marTop w:val="0"/>
      <w:marBottom w:val="0"/>
      <w:divBdr>
        <w:top w:val="none" w:sz="0" w:space="0" w:color="auto"/>
        <w:left w:val="none" w:sz="0" w:space="0" w:color="auto"/>
        <w:bottom w:val="none" w:sz="0" w:space="0" w:color="auto"/>
        <w:right w:val="none" w:sz="0" w:space="0" w:color="auto"/>
      </w:divBdr>
      <w:divsChild>
        <w:div w:id="419256499">
          <w:marLeft w:val="0"/>
          <w:marRight w:val="0"/>
          <w:marTop w:val="0"/>
          <w:marBottom w:val="0"/>
          <w:divBdr>
            <w:top w:val="none" w:sz="0" w:space="0" w:color="auto"/>
            <w:left w:val="none" w:sz="0" w:space="0" w:color="auto"/>
            <w:bottom w:val="none" w:sz="0" w:space="0" w:color="auto"/>
            <w:right w:val="none" w:sz="0" w:space="0" w:color="auto"/>
          </w:divBdr>
        </w:div>
      </w:divsChild>
    </w:div>
    <w:div w:id="756249352">
      <w:bodyDiv w:val="1"/>
      <w:marLeft w:val="0"/>
      <w:marRight w:val="0"/>
      <w:marTop w:val="0"/>
      <w:marBottom w:val="0"/>
      <w:divBdr>
        <w:top w:val="none" w:sz="0" w:space="0" w:color="auto"/>
        <w:left w:val="none" w:sz="0" w:space="0" w:color="auto"/>
        <w:bottom w:val="none" w:sz="0" w:space="0" w:color="auto"/>
        <w:right w:val="none" w:sz="0" w:space="0" w:color="auto"/>
      </w:divBdr>
    </w:div>
    <w:div w:id="886334474">
      <w:bodyDiv w:val="1"/>
      <w:marLeft w:val="0"/>
      <w:marRight w:val="0"/>
      <w:marTop w:val="0"/>
      <w:marBottom w:val="0"/>
      <w:divBdr>
        <w:top w:val="none" w:sz="0" w:space="0" w:color="auto"/>
        <w:left w:val="none" w:sz="0" w:space="0" w:color="auto"/>
        <w:bottom w:val="none" w:sz="0" w:space="0" w:color="auto"/>
        <w:right w:val="none" w:sz="0" w:space="0" w:color="auto"/>
      </w:divBdr>
    </w:div>
    <w:div w:id="903874015">
      <w:bodyDiv w:val="1"/>
      <w:marLeft w:val="0"/>
      <w:marRight w:val="0"/>
      <w:marTop w:val="0"/>
      <w:marBottom w:val="0"/>
      <w:divBdr>
        <w:top w:val="none" w:sz="0" w:space="0" w:color="auto"/>
        <w:left w:val="none" w:sz="0" w:space="0" w:color="auto"/>
        <w:bottom w:val="none" w:sz="0" w:space="0" w:color="auto"/>
        <w:right w:val="none" w:sz="0" w:space="0" w:color="auto"/>
      </w:divBdr>
    </w:div>
    <w:div w:id="933904508">
      <w:bodyDiv w:val="1"/>
      <w:marLeft w:val="0"/>
      <w:marRight w:val="0"/>
      <w:marTop w:val="0"/>
      <w:marBottom w:val="0"/>
      <w:divBdr>
        <w:top w:val="none" w:sz="0" w:space="0" w:color="auto"/>
        <w:left w:val="none" w:sz="0" w:space="0" w:color="auto"/>
        <w:bottom w:val="none" w:sz="0" w:space="0" w:color="auto"/>
        <w:right w:val="none" w:sz="0" w:space="0" w:color="auto"/>
      </w:divBdr>
      <w:divsChild>
        <w:div w:id="1347634571">
          <w:marLeft w:val="0"/>
          <w:marRight w:val="0"/>
          <w:marTop w:val="0"/>
          <w:marBottom w:val="0"/>
          <w:divBdr>
            <w:top w:val="none" w:sz="0" w:space="0" w:color="auto"/>
            <w:left w:val="none" w:sz="0" w:space="0" w:color="auto"/>
            <w:bottom w:val="none" w:sz="0" w:space="0" w:color="auto"/>
            <w:right w:val="none" w:sz="0" w:space="0" w:color="auto"/>
          </w:divBdr>
        </w:div>
      </w:divsChild>
    </w:div>
    <w:div w:id="1007175597">
      <w:bodyDiv w:val="1"/>
      <w:marLeft w:val="0"/>
      <w:marRight w:val="0"/>
      <w:marTop w:val="0"/>
      <w:marBottom w:val="0"/>
      <w:divBdr>
        <w:top w:val="none" w:sz="0" w:space="0" w:color="auto"/>
        <w:left w:val="none" w:sz="0" w:space="0" w:color="auto"/>
        <w:bottom w:val="none" w:sz="0" w:space="0" w:color="auto"/>
        <w:right w:val="none" w:sz="0" w:space="0" w:color="auto"/>
      </w:divBdr>
    </w:div>
    <w:div w:id="1039085816">
      <w:bodyDiv w:val="1"/>
      <w:marLeft w:val="0"/>
      <w:marRight w:val="0"/>
      <w:marTop w:val="0"/>
      <w:marBottom w:val="0"/>
      <w:divBdr>
        <w:top w:val="none" w:sz="0" w:space="0" w:color="auto"/>
        <w:left w:val="none" w:sz="0" w:space="0" w:color="auto"/>
        <w:bottom w:val="none" w:sz="0" w:space="0" w:color="auto"/>
        <w:right w:val="none" w:sz="0" w:space="0" w:color="auto"/>
      </w:divBdr>
    </w:div>
    <w:div w:id="1042557265">
      <w:bodyDiv w:val="1"/>
      <w:marLeft w:val="0"/>
      <w:marRight w:val="0"/>
      <w:marTop w:val="0"/>
      <w:marBottom w:val="0"/>
      <w:divBdr>
        <w:top w:val="none" w:sz="0" w:space="0" w:color="auto"/>
        <w:left w:val="none" w:sz="0" w:space="0" w:color="auto"/>
        <w:bottom w:val="none" w:sz="0" w:space="0" w:color="auto"/>
        <w:right w:val="none" w:sz="0" w:space="0" w:color="auto"/>
      </w:divBdr>
      <w:divsChild>
        <w:div w:id="135340259">
          <w:marLeft w:val="0"/>
          <w:marRight w:val="0"/>
          <w:marTop w:val="0"/>
          <w:marBottom w:val="0"/>
          <w:divBdr>
            <w:top w:val="none" w:sz="0" w:space="0" w:color="auto"/>
            <w:left w:val="none" w:sz="0" w:space="0" w:color="auto"/>
            <w:bottom w:val="none" w:sz="0" w:space="0" w:color="auto"/>
            <w:right w:val="none" w:sz="0" w:space="0" w:color="auto"/>
          </w:divBdr>
        </w:div>
      </w:divsChild>
    </w:div>
    <w:div w:id="1121801047">
      <w:bodyDiv w:val="1"/>
      <w:marLeft w:val="0"/>
      <w:marRight w:val="0"/>
      <w:marTop w:val="0"/>
      <w:marBottom w:val="0"/>
      <w:divBdr>
        <w:top w:val="none" w:sz="0" w:space="0" w:color="auto"/>
        <w:left w:val="none" w:sz="0" w:space="0" w:color="auto"/>
        <w:bottom w:val="none" w:sz="0" w:space="0" w:color="auto"/>
        <w:right w:val="none" w:sz="0" w:space="0" w:color="auto"/>
      </w:divBdr>
    </w:div>
    <w:div w:id="1150557452">
      <w:bodyDiv w:val="1"/>
      <w:marLeft w:val="0"/>
      <w:marRight w:val="0"/>
      <w:marTop w:val="0"/>
      <w:marBottom w:val="0"/>
      <w:divBdr>
        <w:top w:val="none" w:sz="0" w:space="0" w:color="auto"/>
        <w:left w:val="none" w:sz="0" w:space="0" w:color="auto"/>
        <w:bottom w:val="none" w:sz="0" w:space="0" w:color="auto"/>
        <w:right w:val="none" w:sz="0" w:space="0" w:color="auto"/>
      </w:divBdr>
    </w:div>
    <w:div w:id="1179273621">
      <w:bodyDiv w:val="1"/>
      <w:marLeft w:val="0"/>
      <w:marRight w:val="0"/>
      <w:marTop w:val="0"/>
      <w:marBottom w:val="0"/>
      <w:divBdr>
        <w:top w:val="none" w:sz="0" w:space="0" w:color="auto"/>
        <w:left w:val="none" w:sz="0" w:space="0" w:color="auto"/>
        <w:bottom w:val="none" w:sz="0" w:space="0" w:color="auto"/>
        <w:right w:val="none" w:sz="0" w:space="0" w:color="auto"/>
      </w:divBdr>
    </w:div>
    <w:div w:id="1312057376">
      <w:bodyDiv w:val="1"/>
      <w:marLeft w:val="0"/>
      <w:marRight w:val="0"/>
      <w:marTop w:val="0"/>
      <w:marBottom w:val="0"/>
      <w:divBdr>
        <w:top w:val="none" w:sz="0" w:space="0" w:color="auto"/>
        <w:left w:val="none" w:sz="0" w:space="0" w:color="auto"/>
        <w:bottom w:val="none" w:sz="0" w:space="0" w:color="auto"/>
        <w:right w:val="none" w:sz="0" w:space="0" w:color="auto"/>
      </w:divBdr>
    </w:div>
    <w:div w:id="1314992078">
      <w:bodyDiv w:val="1"/>
      <w:marLeft w:val="0"/>
      <w:marRight w:val="0"/>
      <w:marTop w:val="0"/>
      <w:marBottom w:val="0"/>
      <w:divBdr>
        <w:top w:val="none" w:sz="0" w:space="0" w:color="auto"/>
        <w:left w:val="none" w:sz="0" w:space="0" w:color="auto"/>
        <w:bottom w:val="none" w:sz="0" w:space="0" w:color="auto"/>
        <w:right w:val="none" w:sz="0" w:space="0" w:color="auto"/>
      </w:divBdr>
      <w:divsChild>
        <w:div w:id="1393230203">
          <w:marLeft w:val="0"/>
          <w:marRight w:val="0"/>
          <w:marTop w:val="0"/>
          <w:marBottom w:val="0"/>
          <w:divBdr>
            <w:top w:val="none" w:sz="0" w:space="0" w:color="auto"/>
            <w:left w:val="none" w:sz="0" w:space="0" w:color="auto"/>
            <w:bottom w:val="none" w:sz="0" w:space="0" w:color="auto"/>
            <w:right w:val="none" w:sz="0" w:space="0" w:color="auto"/>
          </w:divBdr>
        </w:div>
      </w:divsChild>
    </w:div>
    <w:div w:id="1344283786">
      <w:bodyDiv w:val="1"/>
      <w:marLeft w:val="0"/>
      <w:marRight w:val="0"/>
      <w:marTop w:val="0"/>
      <w:marBottom w:val="0"/>
      <w:divBdr>
        <w:top w:val="none" w:sz="0" w:space="0" w:color="auto"/>
        <w:left w:val="none" w:sz="0" w:space="0" w:color="auto"/>
        <w:bottom w:val="none" w:sz="0" w:space="0" w:color="auto"/>
        <w:right w:val="none" w:sz="0" w:space="0" w:color="auto"/>
      </w:divBdr>
    </w:div>
    <w:div w:id="1466893564">
      <w:bodyDiv w:val="1"/>
      <w:marLeft w:val="0"/>
      <w:marRight w:val="0"/>
      <w:marTop w:val="0"/>
      <w:marBottom w:val="0"/>
      <w:divBdr>
        <w:top w:val="none" w:sz="0" w:space="0" w:color="auto"/>
        <w:left w:val="none" w:sz="0" w:space="0" w:color="auto"/>
        <w:bottom w:val="none" w:sz="0" w:space="0" w:color="auto"/>
        <w:right w:val="none" w:sz="0" w:space="0" w:color="auto"/>
      </w:divBdr>
      <w:divsChild>
        <w:div w:id="762072003">
          <w:marLeft w:val="0"/>
          <w:marRight w:val="0"/>
          <w:marTop w:val="0"/>
          <w:marBottom w:val="0"/>
          <w:divBdr>
            <w:top w:val="none" w:sz="0" w:space="0" w:color="auto"/>
            <w:left w:val="none" w:sz="0" w:space="0" w:color="auto"/>
            <w:bottom w:val="none" w:sz="0" w:space="0" w:color="auto"/>
            <w:right w:val="none" w:sz="0" w:space="0" w:color="auto"/>
          </w:divBdr>
        </w:div>
      </w:divsChild>
    </w:div>
    <w:div w:id="1525440766">
      <w:bodyDiv w:val="1"/>
      <w:marLeft w:val="0"/>
      <w:marRight w:val="0"/>
      <w:marTop w:val="0"/>
      <w:marBottom w:val="0"/>
      <w:divBdr>
        <w:top w:val="none" w:sz="0" w:space="0" w:color="auto"/>
        <w:left w:val="none" w:sz="0" w:space="0" w:color="auto"/>
        <w:bottom w:val="none" w:sz="0" w:space="0" w:color="auto"/>
        <w:right w:val="none" w:sz="0" w:space="0" w:color="auto"/>
      </w:divBdr>
    </w:div>
    <w:div w:id="1534418132">
      <w:bodyDiv w:val="1"/>
      <w:marLeft w:val="0"/>
      <w:marRight w:val="0"/>
      <w:marTop w:val="0"/>
      <w:marBottom w:val="0"/>
      <w:divBdr>
        <w:top w:val="none" w:sz="0" w:space="0" w:color="auto"/>
        <w:left w:val="none" w:sz="0" w:space="0" w:color="auto"/>
        <w:bottom w:val="none" w:sz="0" w:space="0" w:color="auto"/>
        <w:right w:val="none" w:sz="0" w:space="0" w:color="auto"/>
      </w:divBdr>
    </w:div>
    <w:div w:id="1587837279">
      <w:bodyDiv w:val="1"/>
      <w:marLeft w:val="0"/>
      <w:marRight w:val="0"/>
      <w:marTop w:val="0"/>
      <w:marBottom w:val="0"/>
      <w:divBdr>
        <w:top w:val="none" w:sz="0" w:space="0" w:color="auto"/>
        <w:left w:val="none" w:sz="0" w:space="0" w:color="auto"/>
        <w:bottom w:val="none" w:sz="0" w:space="0" w:color="auto"/>
        <w:right w:val="none" w:sz="0" w:space="0" w:color="auto"/>
      </w:divBdr>
    </w:div>
    <w:div w:id="1590844729">
      <w:bodyDiv w:val="1"/>
      <w:marLeft w:val="0"/>
      <w:marRight w:val="0"/>
      <w:marTop w:val="0"/>
      <w:marBottom w:val="0"/>
      <w:divBdr>
        <w:top w:val="none" w:sz="0" w:space="0" w:color="auto"/>
        <w:left w:val="none" w:sz="0" w:space="0" w:color="auto"/>
        <w:bottom w:val="none" w:sz="0" w:space="0" w:color="auto"/>
        <w:right w:val="none" w:sz="0" w:space="0" w:color="auto"/>
      </w:divBdr>
    </w:div>
    <w:div w:id="1626694449">
      <w:bodyDiv w:val="1"/>
      <w:marLeft w:val="0"/>
      <w:marRight w:val="0"/>
      <w:marTop w:val="0"/>
      <w:marBottom w:val="0"/>
      <w:divBdr>
        <w:top w:val="none" w:sz="0" w:space="0" w:color="auto"/>
        <w:left w:val="none" w:sz="0" w:space="0" w:color="auto"/>
        <w:bottom w:val="none" w:sz="0" w:space="0" w:color="auto"/>
        <w:right w:val="none" w:sz="0" w:space="0" w:color="auto"/>
      </w:divBdr>
    </w:div>
    <w:div w:id="1685594317">
      <w:bodyDiv w:val="1"/>
      <w:marLeft w:val="0"/>
      <w:marRight w:val="0"/>
      <w:marTop w:val="0"/>
      <w:marBottom w:val="0"/>
      <w:divBdr>
        <w:top w:val="none" w:sz="0" w:space="0" w:color="auto"/>
        <w:left w:val="none" w:sz="0" w:space="0" w:color="auto"/>
        <w:bottom w:val="none" w:sz="0" w:space="0" w:color="auto"/>
        <w:right w:val="none" w:sz="0" w:space="0" w:color="auto"/>
      </w:divBdr>
    </w:div>
    <w:div w:id="1690570359">
      <w:bodyDiv w:val="1"/>
      <w:marLeft w:val="0"/>
      <w:marRight w:val="0"/>
      <w:marTop w:val="0"/>
      <w:marBottom w:val="0"/>
      <w:divBdr>
        <w:top w:val="none" w:sz="0" w:space="0" w:color="auto"/>
        <w:left w:val="none" w:sz="0" w:space="0" w:color="auto"/>
        <w:bottom w:val="none" w:sz="0" w:space="0" w:color="auto"/>
        <w:right w:val="none" w:sz="0" w:space="0" w:color="auto"/>
      </w:divBdr>
    </w:div>
    <w:div w:id="1739208227">
      <w:bodyDiv w:val="1"/>
      <w:marLeft w:val="0"/>
      <w:marRight w:val="0"/>
      <w:marTop w:val="0"/>
      <w:marBottom w:val="0"/>
      <w:divBdr>
        <w:top w:val="none" w:sz="0" w:space="0" w:color="auto"/>
        <w:left w:val="none" w:sz="0" w:space="0" w:color="auto"/>
        <w:bottom w:val="none" w:sz="0" w:space="0" w:color="auto"/>
        <w:right w:val="none" w:sz="0" w:space="0" w:color="auto"/>
      </w:divBdr>
    </w:div>
    <w:div w:id="1748727926">
      <w:bodyDiv w:val="1"/>
      <w:marLeft w:val="0"/>
      <w:marRight w:val="0"/>
      <w:marTop w:val="0"/>
      <w:marBottom w:val="0"/>
      <w:divBdr>
        <w:top w:val="none" w:sz="0" w:space="0" w:color="auto"/>
        <w:left w:val="none" w:sz="0" w:space="0" w:color="auto"/>
        <w:bottom w:val="none" w:sz="0" w:space="0" w:color="auto"/>
        <w:right w:val="none" w:sz="0" w:space="0" w:color="auto"/>
      </w:divBdr>
    </w:div>
    <w:div w:id="1863591052">
      <w:bodyDiv w:val="1"/>
      <w:marLeft w:val="0"/>
      <w:marRight w:val="0"/>
      <w:marTop w:val="0"/>
      <w:marBottom w:val="0"/>
      <w:divBdr>
        <w:top w:val="none" w:sz="0" w:space="0" w:color="auto"/>
        <w:left w:val="none" w:sz="0" w:space="0" w:color="auto"/>
        <w:bottom w:val="none" w:sz="0" w:space="0" w:color="auto"/>
        <w:right w:val="none" w:sz="0" w:space="0" w:color="auto"/>
      </w:divBdr>
      <w:divsChild>
        <w:div w:id="1187518710">
          <w:marLeft w:val="0"/>
          <w:marRight w:val="0"/>
          <w:marTop w:val="0"/>
          <w:marBottom w:val="0"/>
          <w:divBdr>
            <w:top w:val="none" w:sz="0" w:space="0" w:color="auto"/>
            <w:left w:val="none" w:sz="0" w:space="0" w:color="auto"/>
            <w:bottom w:val="none" w:sz="0" w:space="0" w:color="auto"/>
            <w:right w:val="none" w:sz="0" w:space="0" w:color="auto"/>
          </w:divBdr>
        </w:div>
      </w:divsChild>
    </w:div>
    <w:div w:id="1975329861">
      <w:bodyDiv w:val="1"/>
      <w:marLeft w:val="0"/>
      <w:marRight w:val="0"/>
      <w:marTop w:val="0"/>
      <w:marBottom w:val="0"/>
      <w:divBdr>
        <w:top w:val="none" w:sz="0" w:space="0" w:color="auto"/>
        <w:left w:val="none" w:sz="0" w:space="0" w:color="auto"/>
        <w:bottom w:val="none" w:sz="0" w:space="0" w:color="auto"/>
        <w:right w:val="none" w:sz="0" w:space="0" w:color="auto"/>
      </w:divBdr>
    </w:div>
    <w:div w:id="1983458665">
      <w:bodyDiv w:val="1"/>
      <w:marLeft w:val="0"/>
      <w:marRight w:val="0"/>
      <w:marTop w:val="0"/>
      <w:marBottom w:val="0"/>
      <w:divBdr>
        <w:top w:val="none" w:sz="0" w:space="0" w:color="auto"/>
        <w:left w:val="none" w:sz="0" w:space="0" w:color="auto"/>
        <w:bottom w:val="none" w:sz="0" w:space="0" w:color="auto"/>
        <w:right w:val="none" w:sz="0" w:space="0" w:color="auto"/>
      </w:divBdr>
      <w:divsChild>
        <w:div w:id="1572345786">
          <w:marLeft w:val="0"/>
          <w:marRight w:val="0"/>
          <w:marTop w:val="0"/>
          <w:marBottom w:val="0"/>
          <w:divBdr>
            <w:top w:val="none" w:sz="0" w:space="0" w:color="auto"/>
            <w:left w:val="none" w:sz="0" w:space="0" w:color="auto"/>
            <w:bottom w:val="none" w:sz="0" w:space="0" w:color="auto"/>
            <w:right w:val="none" w:sz="0" w:space="0" w:color="auto"/>
          </w:divBdr>
        </w:div>
      </w:divsChild>
    </w:div>
    <w:div w:id="2033535836">
      <w:bodyDiv w:val="1"/>
      <w:marLeft w:val="0"/>
      <w:marRight w:val="0"/>
      <w:marTop w:val="0"/>
      <w:marBottom w:val="0"/>
      <w:divBdr>
        <w:top w:val="none" w:sz="0" w:space="0" w:color="auto"/>
        <w:left w:val="none" w:sz="0" w:space="0" w:color="auto"/>
        <w:bottom w:val="none" w:sz="0" w:space="0" w:color="auto"/>
        <w:right w:val="none" w:sz="0" w:space="0" w:color="auto"/>
      </w:divBdr>
    </w:div>
    <w:div w:id="2131630366">
      <w:bodyDiv w:val="1"/>
      <w:marLeft w:val="0"/>
      <w:marRight w:val="0"/>
      <w:marTop w:val="0"/>
      <w:marBottom w:val="0"/>
      <w:divBdr>
        <w:top w:val="none" w:sz="0" w:space="0" w:color="auto"/>
        <w:left w:val="none" w:sz="0" w:space="0" w:color="auto"/>
        <w:bottom w:val="none" w:sz="0" w:space="0" w:color="auto"/>
        <w:right w:val="none" w:sz="0" w:space="0" w:color="auto"/>
      </w:divBdr>
      <w:divsChild>
        <w:div w:id="182454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iub.edu.pk/"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ajid%20Salim\Desktop\Thesis\VDC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ajid%20Salim\Desktop\Thesis\VDC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ajid%20Salim\Desktop\Thesis\VDC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1.xml"/><Relationship Id="rId4" Type="http://schemas.openxmlformats.org/officeDocument/2006/relationships/oleObject" Target="file:///C:\Users\Sajid%20Salim\Desktop\Thesis\VD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31714785651795"/>
          <c:y val="8.0401283172936724E-2"/>
          <c:w val="0.86007677165354335"/>
          <c:h val="0.7581397880820453"/>
        </c:manualLayout>
      </c:layout>
      <c:lineChart>
        <c:grouping val="standard"/>
        <c:varyColors val="0"/>
        <c:ser>
          <c:idx val="0"/>
          <c:order val="0"/>
          <c:tx>
            <c:strRef>
              <c:f>'IRF - USA'!$C$2</c:f>
              <c:strCache>
                <c:ptCount val="1"/>
                <c:pt idx="0">
                  <c:v>LPK</c:v>
                </c:pt>
              </c:strCache>
            </c:strRef>
          </c:tx>
          <c:spPr>
            <a:ln w="28575" cap="rnd">
              <a:solidFill>
                <a:schemeClr val="accent1"/>
              </a:solidFill>
              <a:round/>
            </a:ln>
            <a:effectLst/>
          </c:spPr>
          <c:marker>
            <c:symbol val="none"/>
          </c:marker>
          <c:cat>
            <c:numRef>
              <c:f>'IRF - USA'!$B$3:$B$55</c:f>
              <c:numCache>
                <c:formatCode>General</c:formatCode>
                <c:ptCount val="53"/>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cat>
          <c:val>
            <c:numRef>
              <c:f>'IRF - USA'!$C$3:$C$55</c:f>
              <c:numCache>
                <c:formatCode>General</c:formatCode>
                <c:ptCount val="53"/>
                <c:pt idx="1">
                  <c:v>4.1089999999999998E-3</c:v>
                </c:pt>
                <c:pt idx="2">
                  <c:v>9.3650000000000001E-3</c:v>
                </c:pt>
                <c:pt idx="3">
                  <c:v>9.7149999999999997E-3</c:v>
                </c:pt>
                <c:pt idx="4">
                  <c:v>9.2779999999999998E-3</c:v>
                </c:pt>
                <c:pt idx="5">
                  <c:v>8.8769999999999995E-3</c:v>
                </c:pt>
                <c:pt idx="6">
                  <c:v>8.5269999999999999E-3</c:v>
                </c:pt>
                <c:pt idx="7">
                  <c:v>8.2140000000000008E-3</c:v>
                </c:pt>
                <c:pt idx="8">
                  <c:v>7.9340000000000001E-3</c:v>
                </c:pt>
                <c:pt idx="9">
                  <c:v>7.685E-3</c:v>
                </c:pt>
                <c:pt idx="10">
                  <c:v>7.463E-3</c:v>
                </c:pt>
                <c:pt idx="11">
                  <c:v>7.2639999999999996E-3</c:v>
                </c:pt>
                <c:pt idx="12">
                  <c:v>7.0870000000000004E-3</c:v>
                </c:pt>
                <c:pt idx="13">
                  <c:v>6.9290000000000003E-3</c:v>
                </c:pt>
                <c:pt idx="14">
                  <c:v>6.7889999999999999E-3</c:v>
                </c:pt>
                <c:pt idx="15">
                  <c:v>6.6629999999999997E-3</c:v>
                </c:pt>
                <c:pt idx="16">
                  <c:v>6.5510000000000004E-3</c:v>
                </c:pt>
                <c:pt idx="17" formatCode="0.00E+00">
                  <c:v>6.4510000000000001E-3</c:v>
                </c:pt>
                <c:pt idx="18">
                  <c:v>6.3619999999999996E-3</c:v>
                </c:pt>
                <c:pt idx="19">
                  <c:v>6.2820000000000003E-3</c:v>
                </c:pt>
                <c:pt idx="20">
                  <c:v>6.2110000000000004E-3</c:v>
                </c:pt>
                <c:pt idx="21">
                  <c:v>6.1479999999999998E-3</c:v>
                </c:pt>
                <c:pt idx="22">
                  <c:v>6.0910000000000001E-3</c:v>
                </c:pt>
                <c:pt idx="23">
                  <c:v>6.0410000000000004E-3</c:v>
                </c:pt>
                <c:pt idx="24">
                  <c:v>5.9959999999999996E-3</c:v>
                </c:pt>
                <c:pt idx="25">
                  <c:v>5.9560000000000004E-3</c:v>
                </c:pt>
                <c:pt idx="26">
                  <c:v>5.9199999999999999E-3</c:v>
                </c:pt>
                <c:pt idx="27">
                  <c:v>5.888E-3</c:v>
                </c:pt>
                <c:pt idx="28">
                  <c:v>5.8599999999999998E-3</c:v>
                </c:pt>
                <c:pt idx="29">
                  <c:v>5.8339999999999998E-3</c:v>
                </c:pt>
                <c:pt idx="30">
                  <c:v>5.8120000000000003E-3</c:v>
                </c:pt>
                <c:pt idx="31">
                  <c:v>5.7920000000000003E-3</c:v>
                </c:pt>
                <c:pt idx="32">
                  <c:v>5.7739999999999996E-3</c:v>
                </c:pt>
                <c:pt idx="33">
                  <c:v>5.757E-3</c:v>
                </c:pt>
                <c:pt idx="34">
                  <c:v>5.7429999999999998E-3</c:v>
                </c:pt>
                <c:pt idx="35">
                  <c:v>5.7299999999999999E-3</c:v>
                </c:pt>
                <c:pt idx="36">
                  <c:v>5.7190000000000001E-3</c:v>
                </c:pt>
                <c:pt idx="37">
                  <c:v>5.7089999999999997E-3</c:v>
                </c:pt>
                <c:pt idx="38">
                  <c:v>5.7000000000000002E-3</c:v>
                </c:pt>
                <c:pt idx="39">
                  <c:v>5.6909999999999999E-3</c:v>
                </c:pt>
                <c:pt idx="40">
                  <c:v>5.6839999999999998E-3</c:v>
                </c:pt>
                <c:pt idx="41">
                  <c:v>5.6779999999999999E-3</c:v>
                </c:pt>
                <c:pt idx="42">
                  <c:v>5.672E-3</c:v>
                </c:pt>
                <c:pt idx="43">
                  <c:v>5.6670000000000002E-3</c:v>
                </c:pt>
                <c:pt idx="44">
                  <c:v>5.6620000000000004E-3</c:v>
                </c:pt>
                <c:pt idx="45">
                  <c:v>5.6579999999999998E-3</c:v>
                </c:pt>
                <c:pt idx="46">
                  <c:v>5.6550000000000003E-3</c:v>
                </c:pt>
                <c:pt idx="47">
                  <c:v>5.6509999999999998E-3</c:v>
                </c:pt>
                <c:pt idx="48">
                  <c:v>5.6480000000000002E-3</c:v>
                </c:pt>
                <c:pt idx="49">
                  <c:v>5.646E-3</c:v>
                </c:pt>
                <c:pt idx="50">
                  <c:v>5.6439999999999997E-3</c:v>
                </c:pt>
                <c:pt idx="51">
                  <c:v>5.6410000000000002E-3</c:v>
                </c:pt>
                <c:pt idx="52">
                  <c:v>5.64E-3</c:v>
                </c:pt>
              </c:numCache>
            </c:numRef>
          </c:val>
          <c:smooth val="0"/>
          <c:extLst>
            <c:ext xmlns:c16="http://schemas.microsoft.com/office/drawing/2014/chart" uri="{C3380CC4-5D6E-409C-BE32-E72D297353CC}">
              <c16:uniqueId val="{00000000-713D-4902-85EF-C32CAE3B0DE3}"/>
            </c:ext>
          </c:extLst>
        </c:ser>
        <c:ser>
          <c:idx val="1"/>
          <c:order val="1"/>
          <c:tx>
            <c:strRef>
              <c:f>'IRF - USA'!$D$2</c:f>
              <c:strCache>
                <c:ptCount val="1"/>
                <c:pt idx="0">
                  <c:v>LIND</c:v>
                </c:pt>
              </c:strCache>
            </c:strRef>
          </c:tx>
          <c:spPr>
            <a:ln w="28575" cap="rnd">
              <a:solidFill>
                <a:schemeClr val="accent2"/>
              </a:solidFill>
              <a:round/>
            </a:ln>
            <a:effectLst/>
          </c:spPr>
          <c:marker>
            <c:symbol val="none"/>
          </c:marker>
          <c:cat>
            <c:numRef>
              <c:f>'IRF - USA'!$B$3:$B$55</c:f>
              <c:numCache>
                <c:formatCode>General</c:formatCode>
                <c:ptCount val="53"/>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cat>
          <c:val>
            <c:numRef>
              <c:f>'IRF - USA'!$D$3:$D$55</c:f>
              <c:numCache>
                <c:formatCode>General</c:formatCode>
                <c:ptCount val="53"/>
                <c:pt idx="1">
                  <c:v>1.7586999999999998E-2</c:v>
                </c:pt>
                <c:pt idx="2">
                  <c:v>1.9973000000000001E-2</c:v>
                </c:pt>
                <c:pt idx="3">
                  <c:v>1.7614000000000001E-2</c:v>
                </c:pt>
                <c:pt idx="4">
                  <c:v>1.5932000000000002E-2</c:v>
                </c:pt>
                <c:pt idx="5">
                  <c:v>1.4522E-2</c:v>
                </c:pt>
                <c:pt idx="6">
                  <c:v>1.3264E-2</c:v>
                </c:pt>
                <c:pt idx="7">
                  <c:v>1.2141000000000001E-2</c:v>
                </c:pt>
                <c:pt idx="8">
                  <c:v>1.1139E-2</c:v>
                </c:pt>
                <c:pt idx="9">
                  <c:v>1.0245000000000001E-2</c:v>
                </c:pt>
                <c:pt idx="10">
                  <c:v>9.4470000000000005E-3</c:v>
                </c:pt>
                <c:pt idx="11">
                  <c:v>8.7349999999999997E-3</c:v>
                </c:pt>
                <c:pt idx="12">
                  <c:v>8.1010000000000006E-3</c:v>
                </c:pt>
                <c:pt idx="13">
                  <c:v>7.5339999999999999E-3</c:v>
                </c:pt>
                <c:pt idx="14">
                  <c:v>7.0289999999999997E-3</c:v>
                </c:pt>
                <c:pt idx="15">
                  <c:v>6.5789999999999998E-3</c:v>
                </c:pt>
                <c:pt idx="16">
                  <c:v>6.1760000000000001E-3</c:v>
                </c:pt>
                <c:pt idx="17">
                  <c:v>5.8180000000000003E-3</c:v>
                </c:pt>
                <c:pt idx="18">
                  <c:v>5.4980000000000003E-3</c:v>
                </c:pt>
                <c:pt idx="19">
                  <c:v>5.2119999999999996E-3</c:v>
                </c:pt>
                <c:pt idx="20">
                  <c:v>4.9579999999999997E-3</c:v>
                </c:pt>
                <c:pt idx="21">
                  <c:v>4.731E-3</c:v>
                </c:pt>
                <c:pt idx="22">
                  <c:v>4.5279999999999999E-3</c:v>
                </c:pt>
                <c:pt idx="23">
                  <c:v>4.3470000000000002E-3</c:v>
                </c:pt>
                <c:pt idx="24">
                  <c:v>4.1859999999999996E-3</c:v>
                </c:pt>
                <c:pt idx="25">
                  <c:v>4.0419999999999996E-3</c:v>
                </c:pt>
                <c:pt idx="26">
                  <c:v>3.9139999999999999E-3</c:v>
                </c:pt>
                <c:pt idx="27">
                  <c:v>3.7989999999999999E-3</c:v>
                </c:pt>
                <c:pt idx="28">
                  <c:v>3.6970000000000002E-3</c:v>
                </c:pt>
                <c:pt idx="29">
                  <c:v>3.6059999999999998E-3</c:v>
                </c:pt>
                <c:pt idx="30">
                  <c:v>3.5249999999999999E-3</c:v>
                </c:pt>
                <c:pt idx="31">
                  <c:v>3.4520000000000002E-3</c:v>
                </c:pt>
                <c:pt idx="32">
                  <c:v>3.388E-3</c:v>
                </c:pt>
                <c:pt idx="33">
                  <c:v>3.3300000000000001E-3</c:v>
                </c:pt>
                <c:pt idx="34">
                  <c:v>3.2780000000000001E-3</c:v>
                </c:pt>
                <c:pt idx="35">
                  <c:v>3.2320000000000001E-3</c:v>
                </c:pt>
                <c:pt idx="36">
                  <c:v>3.192E-3</c:v>
                </c:pt>
                <c:pt idx="37">
                  <c:v>3.1549999999999998E-3</c:v>
                </c:pt>
                <c:pt idx="38">
                  <c:v>3.1220000000000002E-3</c:v>
                </c:pt>
                <c:pt idx="39">
                  <c:v>3.0929999999999998E-3</c:v>
                </c:pt>
                <c:pt idx="40">
                  <c:v>3.0669999999999998E-3</c:v>
                </c:pt>
                <c:pt idx="41">
                  <c:v>3.0439999999999998E-3</c:v>
                </c:pt>
                <c:pt idx="42">
                  <c:v>3.0240000000000002E-3</c:v>
                </c:pt>
                <c:pt idx="43">
                  <c:v>3.0049999999999999E-3</c:v>
                </c:pt>
                <c:pt idx="44">
                  <c:v>2.9889999999999999E-3</c:v>
                </c:pt>
                <c:pt idx="45">
                  <c:v>2.9740000000000001E-3</c:v>
                </c:pt>
                <c:pt idx="46">
                  <c:v>2.9610000000000001E-3</c:v>
                </c:pt>
                <c:pt idx="47">
                  <c:v>2.9489999999999998E-3</c:v>
                </c:pt>
                <c:pt idx="48">
                  <c:v>2.9390000000000002E-3</c:v>
                </c:pt>
                <c:pt idx="49">
                  <c:v>2.9299999999999999E-3</c:v>
                </c:pt>
                <c:pt idx="50">
                  <c:v>2.921E-3</c:v>
                </c:pt>
                <c:pt idx="51">
                  <c:v>2.9139999999999999E-3</c:v>
                </c:pt>
                <c:pt idx="52">
                  <c:v>2.9069999999999999E-3</c:v>
                </c:pt>
              </c:numCache>
            </c:numRef>
          </c:val>
          <c:smooth val="0"/>
          <c:extLst>
            <c:ext xmlns:c16="http://schemas.microsoft.com/office/drawing/2014/chart" uri="{C3380CC4-5D6E-409C-BE32-E72D297353CC}">
              <c16:uniqueId val="{00000001-713D-4902-85EF-C32CAE3B0DE3}"/>
            </c:ext>
          </c:extLst>
        </c:ser>
        <c:ser>
          <c:idx val="2"/>
          <c:order val="2"/>
          <c:tx>
            <c:strRef>
              <c:f>'IRF - USA'!$E$2</c:f>
              <c:strCache>
                <c:ptCount val="1"/>
                <c:pt idx="0">
                  <c:v>LCN</c:v>
                </c:pt>
              </c:strCache>
            </c:strRef>
          </c:tx>
          <c:spPr>
            <a:ln w="28575" cap="rnd">
              <a:solidFill>
                <a:schemeClr val="accent3"/>
              </a:solidFill>
              <a:round/>
            </a:ln>
            <a:effectLst/>
          </c:spPr>
          <c:marker>
            <c:symbol val="none"/>
          </c:marker>
          <c:cat>
            <c:numRef>
              <c:f>'IRF - USA'!$B$3:$B$55</c:f>
              <c:numCache>
                <c:formatCode>General</c:formatCode>
                <c:ptCount val="53"/>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cat>
          <c:val>
            <c:numRef>
              <c:f>'IRF - USA'!$E$3:$E$55</c:f>
              <c:numCache>
                <c:formatCode>General</c:formatCode>
                <c:ptCount val="53"/>
                <c:pt idx="1">
                  <c:v>5.9300000000000004E-3</c:v>
                </c:pt>
                <c:pt idx="2">
                  <c:v>1.2236E-2</c:v>
                </c:pt>
                <c:pt idx="3">
                  <c:v>1.0069E-2</c:v>
                </c:pt>
                <c:pt idx="4">
                  <c:v>7.9070000000000008E-3</c:v>
                </c:pt>
                <c:pt idx="5">
                  <c:v>6.136E-3</c:v>
                </c:pt>
                <c:pt idx="6">
                  <c:v>4.568E-3</c:v>
                </c:pt>
                <c:pt idx="7">
                  <c:v>3.1679999999999998E-3</c:v>
                </c:pt>
                <c:pt idx="8">
                  <c:v>1.9189999999999999E-3</c:v>
                </c:pt>
                <c:pt idx="9">
                  <c:v>8.0400000000000003E-4</c:v>
                </c:pt>
                <c:pt idx="10">
                  <c:v>-1.9000000000000001E-4</c:v>
                </c:pt>
                <c:pt idx="11">
                  <c:v>-1.077E-3</c:v>
                </c:pt>
                <c:pt idx="12">
                  <c:v>-1.8680000000000001E-3</c:v>
                </c:pt>
                <c:pt idx="13">
                  <c:v>-2.5739999999999999E-3</c:v>
                </c:pt>
                <c:pt idx="14">
                  <c:v>-3.2030000000000001E-3</c:v>
                </c:pt>
                <c:pt idx="15">
                  <c:v>-3.7650000000000001E-3</c:v>
                </c:pt>
                <c:pt idx="16">
                  <c:v>-4.2659999999999998E-3</c:v>
                </c:pt>
                <c:pt idx="17">
                  <c:v>-4.7130000000000002E-3</c:v>
                </c:pt>
                <c:pt idx="18">
                  <c:v>-5.1120000000000002E-3</c:v>
                </c:pt>
                <c:pt idx="19">
                  <c:v>-5.4679999999999998E-3</c:v>
                </c:pt>
                <c:pt idx="20">
                  <c:v>-5.7850000000000002E-3</c:v>
                </c:pt>
                <c:pt idx="21">
                  <c:v>-6.0679999999999996E-3</c:v>
                </c:pt>
                <c:pt idx="22">
                  <c:v>-6.3210000000000002E-3</c:v>
                </c:pt>
                <c:pt idx="23">
                  <c:v>-6.5459999999999997E-3</c:v>
                </c:pt>
                <c:pt idx="24">
                  <c:v>-6.7470000000000004E-3</c:v>
                </c:pt>
                <c:pt idx="25">
                  <c:v>-6.927E-3</c:v>
                </c:pt>
                <c:pt idx="26">
                  <c:v>-7.0860000000000003E-3</c:v>
                </c:pt>
                <c:pt idx="27">
                  <c:v>-7.2290000000000002E-3</c:v>
                </c:pt>
                <c:pt idx="28">
                  <c:v>-7.3569999999999998E-3</c:v>
                </c:pt>
                <c:pt idx="29">
                  <c:v>-7.4700000000000001E-3</c:v>
                </c:pt>
                <c:pt idx="30">
                  <c:v>-7.5709999999999996E-3</c:v>
                </c:pt>
                <c:pt idx="31">
                  <c:v>-7.6620000000000004E-3</c:v>
                </c:pt>
                <c:pt idx="32">
                  <c:v>-7.7419999999999998E-3</c:v>
                </c:pt>
                <c:pt idx="33">
                  <c:v>-7.8139999999999998E-3</c:v>
                </c:pt>
                <c:pt idx="34">
                  <c:v>-7.8790000000000006E-3</c:v>
                </c:pt>
                <c:pt idx="35">
                  <c:v>-7.9360000000000003E-3</c:v>
                </c:pt>
                <c:pt idx="36">
                  <c:v>-7.9869999999999993E-3</c:v>
                </c:pt>
                <c:pt idx="37">
                  <c:v>-8.0319999999999992E-3</c:v>
                </c:pt>
                <c:pt idx="38">
                  <c:v>-8.0730000000000003E-3</c:v>
                </c:pt>
                <c:pt idx="39">
                  <c:v>-8.1089999999999999E-3</c:v>
                </c:pt>
                <c:pt idx="40">
                  <c:v>-8.1419999999999999E-3</c:v>
                </c:pt>
                <c:pt idx="41">
                  <c:v>-8.1700000000000002E-3</c:v>
                </c:pt>
                <c:pt idx="42">
                  <c:v>-8.1960000000000002E-3</c:v>
                </c:pt>
                <c:pt idx="43">
                  <c:v>-8.2190000000000006E-3</c:v>
                </c:pt>
                <c:pt idx="44">
                  <c:v>-8.2400000000000008E-3</c:v>
                </c:pt>
                <c:pt idx="45">
                  <c:v>-8.2579999999999997E-3</c:v>
                </c:pt>
                <c:pt idx="46">
                  <c:v>-8.2740000000000001E-3</c:v>
                </c:pt>
                <c:pt idx="47">
                  <c:v>-8.2889999999999995E-3</c:v>
                </c:pt>
                <c:pt idx="48">
                  <c:v>-8.3020000000000004E-3</c:v>
                </c:pt>
                <c:pt idx="49">
                  <c:v>-8.3129999999999992E-3</c:v>
                </c:pt>
                <c:pt idx="50">
                  <c:v>-8.3239999999999998E-3</c:v>
                </c:pt>
                <c:pt idx="51">
                  <c:v>-8.3330000000000001E-3</c:v>
                </c:pt>
                <c:pt idx="52">
                  <c:v>-8.3409999999999995E-3</c:v>
                </c:pt>
              </c:numCache>
            </c:numRef>
          </c:val>
          <c:smooth val="0"/>
          <c:extLst>
            <c:ext xmlns:c16="http://schemas.microsoft.com/office/drawing/2014/chart" uri="{C3380CC4-5D6E-409C-BE32-E72D297353CC}">
              <c16:uniqueId val="{00000002-713D-4902-85EF-C32CAE3B0DE3}"/>
            </c:ext>
          </c:extLst>
        </c:ser>
        <c:dLbls>
          <c:showLegendKey val="0"/>
          <c:showVal val="0"/>
          <c:showCatName val="0"/>
          <c:showSerName val="0"/>
          <c:showPercent val="0"/>
          <c:showBubbleSize val="0"/>
        </c:dLbls>
        <c:smooth val="0"/>
        <c:axId val="499262928"/>
        <c:axId val="499263320"/>
      </c:lineChart>
      <c:catAx>
        <c:axId val="49926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9263320"/>
        <c:crosses val="autoZero"/>
        <c:auto val="1"/>
        <c:lblAlgn val="ctr"/>
        <c:lblOffset val="100"/>
        <c:noMultiLvlLbl val="0"/>
      </c:catAx>
      <c:valAx>
        <c:axId val="4992633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9262928"/>
        <c:crosses val="autoZero"/>
        <c:crossBetween val="between"/>
      </c:valAx>
      <c:spPr>
        <a:solidFill>
          <a:sysClr val="window" lastClr="FFFFFF"/>
        </a:solidFill>
        <a:ln w="12700" cap="flat" cmpd="sng" algn="ctr">
          <a:solidFill>
            <a:srgbClr val="4472C4"/>
          </a:solidFill>
          <a:prstDash val="solid"/>
          <a:miter lim="800000"/>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'IRF - UK'!$C$2</c:f>
              <c:strCache>
                <c:ptCount val="1"/>
                <c:pt idx="0">
                  <c:v>LPK</c:v>
                </c:pt>
              </c:strCache>
            </c:strRef>
          </c:tx>
          <c:spPr>
            <a:ln w="28575" cap="rnd">
              <a:solidFill>
                <a:schemeClr val="accent1"/>
              </a:solidFill>
              <a:round/>
            </a:ln>
            <a:effectLst/>
          </c:spPr>
          <c:marker>
            <c:symbol val="none"/>
          </c:marker>
          <c:cat>
            <c:numRef>
              <c:f>'IRF - UK'!$B$3:$B$55</c:f>
              <c:numCache>
                <c:formatCode>General</c:formatCode>
                <c:ptCount val="53"/>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cat>
          <c:val>
            <c:numRef>
              <c:f>'IRF - UK'!$C$3:$C$55</c:f>
              <c:numCache>
                <c:formatCode>General</c:formatCode>
                <c:ptCount val="53"/>
                <c:pt idx="1">
                  <c:v>1.173E-3</c:v>
                </c:pt>
                <c:pt idx="2">
                  <c:v>2.539E-3</c:v>
                </c:pt>
                <c:pt idx="3">
                  <c:v>2.3679999999999999E-3</c:v>
                </c:pt>
                <c:pt idx="4">
                  <c:v>1.725E-3</c:v>
                </c:pt>
                <c:pt idx="5">
                  <c:v>1.091E-3</c:v>
                </c:pt>
                <c:pt idx="6">
                  <c:v>5.0500000000000002E-4</c:v>
                </c:pt>
                <c:pt idx="7" formatCode="0.00E+00">
                  <c:v>-3.6100000000000003E-5</c:v>
                </c:pt>
                <c:pt idx="8">
                  <c:v>-5.3499999999999999E-4</c:v>
                </c:pt>
                <c:pt idx="9">
                  <c:v>-9.9400000000000009E-4</c:v>
                </c:pt>
                <c:pt idx="10">
                  <c:v>-1.4170000000000001E-3</c:v>
                </c:pt>
                <c:pt idx="11">
                  <c:v>-1.807E-3</c:v>
                </c:pt>
                <c:pt idx="12">
                  <c:v>-2.166E-3</c:v>
                </c:pt>
                <c:pt idx="13">
                  <c:v>-2.4970000000000001E-3</c:v>
                </c:pt>
                <c:pt idx="14">
                  <c:v>-2.8019999999999998E-3</c:v>
                </c:pt>
                <c:pt idx="15">
                  <c:v>-3.0829999999999998E-3</c:v>
                </c:pt>
                <c:pt idx="16">
                  <c:v>-3.3409999999999998E-3</c:v>
                </c:pt>
                <c:pt idx="17">
                  <c:v>-3.5799999999999998E-3</c:v>
                </c:pt>
                <c:pt idx="18">
                  <c:v>-3.7989999999999999E-3</c:v>
                </c:pt>
                <c:pt idx="19">
                  <c:v>-4.0020000000000003E-3</c:v>
                </c:pt>
                <c:pt idx="20">
                  <c:v>-4.1879999999999999E-3</c:v>
                </c:pt>
                <c:pt idx="21">
                  <c:v>-4.3600000000000002E-3</c:v>
                </c:pt>
                <c:pt idx="22">
                  <c:v>-4.5180000000000003E-3</c:v>
                </c:pt>
                <c:pt idx="23">
                  <c:v>-4.6639999999999997E-3</c:v>
                </c:pt>
                <c:pt idx="24">
                  <c:v>-4.7980000000000002E-3</c:v>
                </c:pt>
                <c:pt idx="25">
                  <c:v>-4.9220000000000002E-3</c:v>
                </c:pt>
                <c:pt idx="26">
                  <c:v>-5.0359999999999997E-3</c:v>
                </c:pt>
                <c:pt idx="27">
                  <c:v>-5.1409999999999997E-3</c:v>
                </c:pt>
                <c:pt idx="28">
                  <c:v>-5.2379999999999996E-3</c:v>
                </c:pt>
                <c:pt idx="29">
                  <c:v>-5.3270000000000001E-3</c:v>
                </c:pt>
                <c:pt idx="30">
                  <c:v>-5.4089999999999997E-3</c:v>
                </c:pt>
                <c:pt idx="31">
                  <c:v>-5.4850000000000003E-3</c:v>
                </c:pt>
                <c:pt idx="32">
                  <c:v>-5.555E-3</c:v>
                </c:pt>
                <c:pt idx="33">
                  <c:v>-5.6189999999999999E-3</c:v>
                </c:pt>
                <c:pt idx="34">
                  <c:v>-5.6779999999999999E-3</c:v>
                </c:pt>
                <c:pt idx="35">
                  <c:v>-5.7330000000000002E-3</c:v>
                </c:pt>
                <c:pt idx="36">
                  <c:v>-5.7829999999999999E-3</c:v>
                </c:pt>
                <c:pt idx="37">
                  <c:v>-5.829E-3</c:v>
                </c:pt>
                <c:pt idx="38">
                  <c:v>-5.8719999999999996E-3</c:v>
                </c:pt>
                <c:pt idx="39">
                  <c:v>-5.9109999999999996E-3</c:v>
                </c:pt>
                <c:pt idx="40">
                  <c:v>-5.9480000000000002E-3</c:v>
                </c:pt>
                <c:pt idx="41">
                  <c:v>-5.9810000000000002E-3</c:v>
                </c:pt>
                <c:pt idx="42">
                  <c:v>-6.012E-3</c:v>
                </c:pt>
                <c:pt idx="43">
                  <c:v>-6.0400000000000002E-3</c:v>
                </c:pt>
                <c:pt idx="44">
                  <c:v>-6.0660000000000002E-3</c:v>
                </c:pt>
                <c:pt idx="45">
                  <c:v>-6.0899999999999999E-3</c:v>
                </c:pt>
                <c:pt idx="46">
                  <c:v>-6.1120000000000002E-3</c:v>
                </c:pt>
                <c:pt idx="47">
                  <c:v>-6.1330000000000004E-3</c:v>
                </c:pt>
                <c:pt idx="48">
                  <c:v>-6.1510000000000002E-3</c:v>
                </c:pt>
                <c:pt idx="49">
                  <c:v>-6.169E-3</c:v>
                </c:pt>
                <c:pt idx="50">
                  <c:v>-6.1850000000000004E-3</c:v>
                </c:pt>
                <c:pt idx="51">
                  <c:v>-6.1989999999999996E-3</c:v>
                </c:pt>
                <c:pt idx="52">
                  <c:v>-6.2129999999999998E-3</c:v>
                </c:pt>
              </c:numCache>
            </c:numRef>
          </c:val>
          <c:smooth val="0"/>
          <c:extLst>
            <c:ext xmlns:c16="http://schemas.microsoft.com/office/drawing/2014/chart" uri="{C3380CC4-5D6E-409C-BE32-E72D297353CC}">
              <c16:uniqueId val="{00000000-59AB-4185-B117-FF35C2822996}"/>
            </c:ext>
          </c:extLst>
        </c:ser>
        <c:ser>
          <c:idx val="1"/>
          <c:order val="1"/>
          <c:tx>
            <c:strRef>
              <c:f>'IRF - UK'!$D$2</c:f>
              <c:strCache>
                <c:ptCount val="1"/>
                <c:pt idx="0">
                  <c:v>LIND</c:v>
                </c:pt>
              </c:strCache>
            </c:strRef>
          </c:tx>
          <c:spPr>
            <a:ln w="28575" cap="rnd">
              <a:solidFill>
                <a:schemeClr val="accent2"/>
              </a:solidFill>
              <a:round/>
            </a:ln>
            <a:effectLst/>
          </c:spPr>
          <c:marker>
            <c:symbol val="none"/>
          </c:marker>
          <c:cat>
            <c:numRef>
              <c:f>'IRF - UK'!$B$3:$B$55</c:f>
              <c:numCache>
                <c:formatCode>General</c:formatCode>
                <c:ptCount val="53"/>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cat>
          <c:val>
            <c:numRef>
              <c:f>'IRF - UK'!$D$3:$D$55</c:f>
              <c:numCache>
                <c:formatCode>General</c:formatCode>
                <c:ptCount val="53"/>
                <c:pt idx="1">
                  <c:v>9.7059999999999994E-3</c:v>
                </c:pt>
                <c:pt idx="2">
                  <c:v>1.3689E-2</c:v>
                </c:pt>
                <c:pt idx="3">
                  <c:v>1.3661E-2</c:v>
                </c:pt>
                <c:pt idx="4">
                  <c:v>1.3714E-2</c:v>
                </c:pt>
                <c:pt idx="5">
                  <c:v>1.3802E-2</c:v>
                </c:pt>
                <c:pt idx="6">
                  <c:v>1.3879000000000001E-2</c:v>
                </c:pt>
                <c:pt idx="7">
                  <c:v>1.3949E-2</c:v>
                </c:pt>
                <c:pt idx="8">
                  <c:v>1.4014E-2</c:v>
                </c:pt>
                <c:pt idx="9">
                  <c:v>1.4073E-2</c:v>
                </c:pt>
                <c:pt idx="10">
                  <c:v>1.4128E-2</c:v>
                </c:pt>
                <c:pt idx="11">
                  <c:v>1.4178E-2</c:v>
                </c:pt>
                <c:pt idx="12">
                  <c:v>1.4225E-2</c:v>
                </c:pt>
                <c:pt idx="13">
                  <c:v>1.4267999999999999E-2</c:v>
                </c:pt>
                <c:pt idx="14">
                  <c:v>1.4307E-2</c:v>
                </c:pt>
                <c:pt idx="15">
                  <c:v>1.4344000000000001E-2</c:v>
                </c:pt>
                <c:pt idx="16">
                  <c:v>1.4376999999999999E-2</c:v>
                </c:pt>
                <c:pt idx="17">
                  <c:v>1.4408000000000001E-2</c:v>
                </c:pt>
                <c:pt idx="18">
                  <c:v>1.4437E-2</c:v>
                </c:pt>
                <c:pt idx="19">
                  <c:v>1.4463E-2</c:v>
                </c:pt>
                <c:pt idx="20">
                  <c:v>1.4487E-2</c:v>
                </c:pt>
                <c:pt idx="21">
                  <c:v>1.4508999999999999E-2</c:v>
                </c:pt>
                <c:pt idx="22">
                  <c:v>1.453E-2</c:v>
                </c:pt>
                <c:pt idx="23">
                  <c:v>1.4548999999999999E-2</c:v>
                </c:pt>
                <c:pt idx="24">
                  <c:v>1.4566000000000001E-2</c:v>
                </c:pt>
                <c:pt idx="25">
                  <c:v>1.4581999999999999E-2</c:v>
                </c:pt>
                <c:pt idx="26">
                  <c:v>1.4597000000000001E-2</c:v>
                </c:pt>
                <c:pt idx="27">
                  <c:v>1.4611000000000001E-2</c:v>
                </c:pt>
                <c:pt idx="28">
                  <c:v>1.4623000000000001E-2</c:v>
                </c:pt>
                <c:pt idx="29">
                  <c:v>1.4635E-2</c:v>
                </c:pt>
                <c:pt idx="30">
                  <c:v>1.4645999999999999E-2</c:v>
                </c:pt>
                <c:pt idx="31">
                  <c:v>1.4655E-2</c:v>
                </c:pt>
                <c:pt idx="32">
                  <c:v>1.4664E-2</c:v>
                </c:pt>
                <c:pt idx="33">
                  <c:v>1.4673E-2</c:v>
                </c:pt>
                <c:pt idx="34">
                  <c:v>1.468E-2</c:v>
                </c:pt>
                <c:pt idx="35">
                  <c:v>1.4687E-2</c:v>
                </c:pt>
                <c:pt idx="36">
                  <c:v>1.4694E-2</c:v>
                </c:pt>
                <c:pt idx="37">
                  <c:v>1.47E-2</c:v>
                </c:pt>
                <c:pt idx="38">
                  <c:v>1.4704999999999999E-2</c:v>
                </c:pt>
                <c:pt idx="39">
                  <c:v>1.4711E-2</c:v>
                </c:pt>
                <c:pt idx="40">
                  <c:v>1.4715000000000001E-2</c:v>
                </c:pt>
                <c:pt idx="41">
                  <c:v>1.472E-2</c:v>
                </c:pt>
                <c:pt idx="42">
                  <c:v>1.4723999999999999E-2</c:v>
                </c:pt>
                <c:pt idx="43">
                  <c:v>1.4727000000000001E-2</c:v>
                </c:pt>
                <c:pt idx="44">
                  <c:v>1.4730999999999999E-2</c:v>
                </c:pt>
                <c:pt idx="45">
                  <c:v>1.4734000000000001E-2</c:v>
                </c:pt>
                <c:pt idx="46">
                  <c:v>1.4737E-2</c:v>
                </c:pt>
                <c:pt idx="47">
                  <c:v>1.4739E-2</c:v>
                </c:pt>
                <c:pt idx="48">
                  <c:v>1.4742E-2</c:v>
                </c:pt>
                <c:pt idx="49">
                  <c:v>1.4744E-2</c:v>
                </c:pt>
                <c:pt idx="50">
                  <c:v>1.4746E-2</c:v>
                </c:pt>
                <c:pt idx="51">
                  <c:v>1.4748000000000001E-2</c:v>
                </c:pt>
                <c:pt idx="52">
                  <c:v>1.4749999999999999E-2</c:v>
                </c:pt>
              </c:numCache>
            </c:numRef>
          </c:val>
          <c:smooth val="0"/>
          <c:extLst>
            <c:ext xmlns:c16="http://schemas.microsoft.com/office/drawing/2014/chart" uri="{C3380CC4-5D6E-409C-BE32-E72D297353CC}">
              <c16:uniqueId val="{00000001-59AB-4185-B117-FF35C2822996}"/>
            </c:ext>
          </c:extLst>
        </c:ser>
        <c:ser>
          <c:idx val="2"/>
          <c:order val="2"/>
          <c:tx>
            <c:strRef>
              <c:f>'IRF - UK'!$E$2</c:f>
              <c:strCache>
                <c:ptCount val="1"/>
                <c:pt idx="0">
                  <c:v>LCN</c:v>
                </c:pt>
              </c:strCache>
            </c:strRef>
          </c:tx>
          <c:spPr>
            <a:ln w="28575" cap="rnd">
              <a:solidFill>
                <a:schemeClr val="accent3"/>
              </a:solidFill>
              <a:round/>
            </a:ln>
            <a:effectLst/>
          </c:spPr>
          <c:marker>
            <c:symbol val="none"/>
          </c:marker>
          <c:cat>
            <c:numRef>
              <c:f>'IRF - UK'!$B$3:$B$55</c:f>
              <c:numCache>
                <c:formatCode>General</c:formatCode>
                <c:ptCount val="53"/>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cat>
          <c:val>
            <c:numRef>
              <c:f>'IRF - UK'!$E$3:$E$55</c:f>
              <c:numCache>
                <c:formatCode>General</c:formatCode>
                <c:ptCount val="53"/>
                <c:pt idx="1">
                  <c:v>-9.77E-4</c:v>
                </c:pt>
                <c:pt idx="2">
                  <c:v>4.8729999999999997E-3</c:v>
                </c:pt>
                <c:pt idx="3">
                  <c:v>3.8119999999999999E-3</c:v>
                </c:pt>
                <c:pt idx="4">
                  <c:v>2.7130000000000001E-3</c:v>
                </c:pt>
                <c:pt idx="5">
                  <c:v>1.776E-3</c:v>
                </c:pt>
                <c:pt idx="6">
                  <c:v>9.0899999999999998E-4</c:v>
                </c:pt>
                <c:pt idx="7">
                  <c:v>1.08E-4</c:v>
                </c:pt>
                <c:pt idx="8">
                  <c:v>-6.29E-4</c:v>
                </c:pt>
                <c:pt idx="9">
                  <c:v>-1.3079999999999999E-3</c:v>
                </c:pt>
                <c:pt idx="10">
                  <c:v>-1.934E-3</c:v>
                </c:pt>
                <c:pt idx="11">
                  <c:v>-2.5110000000000002E-3</c:v>
                </c:pt>
                <c:pt idx="12">
                  <c:v>-3.042E-3</c:v>
                </c:pt>
                <c:pt idx="13">
                  <c:v>-3.532E-3</c:v>
                </c:pt>
                <c:pt idx="14">
                  <c:v>-3.9830000000000004E-3</c:v>
                </c:pt>
                <c:pt idx="15">
                  <c:v>-4.398E-3</c:v>
                </c:pt>
                <c:pt idx="16">
                  <c:v>-4.7809999999999997E-3</c:v>
                </c:pt>
                <c:pt idx="17">
                  <c:v>-5.1330000000000004E-3</c:v>
                </c:pt>
                <c:pt idx="18">
                  <c:v>-5.4580000000000002E-3</c:v>
                </c:pt>
                <c:pt idx="19">
                  <c:v>-5.7580000000000001E-3</c:v>
                </c:pt>
                <c:pt idx="20">
                  <c:v>-6.0340000000000003E-3</c:v>
                </c:pt>
                <c:pt idx="21">
                  <c:v>-6.2880000000000002E-3</c:v>
                </c:pt>
                <c:pt idx="22">
                  <c:v>-6.522E-3</c:v>
                </c:pt>
                <c:pt idx="23">
                  <c:v>-6.7369999999999999E-3</c:v>
                </c:pt>
                <c:pt idx="24">
                  <c:v>-6.9360000000000003E-3</c:v>
                </c:pt>
                <c:pt idx="25">
                  <c:v>-7.1190000000000003E-3</c:v>
                </c:pt>
                <c:pt idx="26">
                  <c:v>-7.2880000000000002E-3</c:v>
                </c:pt>
                <c:pt idx="27">
                  <c:v>-7.443E-3</c:v>
                </c:pt>
                <c:pt idx="28">
                  <c:v>-7.5859999999999999E-3</c:v>
                </c:pt>
                <c:pt idx="29">
                  <c:v>-7.718E-3</c:v>
                </c:pt>
                <c:pt idx="30">
                  <c:v>-7.8399999999999997E-3</c:v>
                </c:pt>
                <c:pt idx="31">
                  <c:v>-7.9520000000000007E-3</c:v>
                </c:pt>
                <c:pt idx="32">
                  <c:v>-8.0549999999999997E-3</c:v>
                </c:pt>
                <c:pt idx="33">
                  <c:v>-8.1499999999999993E-3</c:v>
                </c:pt>
                <c:pt idx="34">
                  <c:v>-8.2380000000000005E-3</c:v>
                </c:pt>
                <c:pt idx="35">
                  <c:v>-8.3180000000000007E-3</c:v>
                </c:pt>
                <c:pt idx="36">
                  <c:v>-8.3929999999999994E-3</c:v>
                </c:pt>
                <c:pt idx="37">
                  <c:v>-8.4609999999999998E-3</c:v>
                </c:pt>
                <c:pt idx="38">
                  <c:v>-8.5240000000000003E-3</c:v>
                </c:pt>
                <c:pt idx="39">
                  <c:v>-8.5819999999999994E-3</c:v>
                </c:pt>
                <c:pt idx="40">
                  <c:v>-8.6359999999999996E-3</c:v>
                </c:pt>
                <c:pt idx="41">
                  <c:v>-8.685E-3</c:v>
                </c:pt>
                <c:pt idx="42">
                  <c:v>-8.7309999999999992E-3</c:v>
                </c:pt>
                <c:pt idx="43">
                  <c:v>-8.7720000000000003E-3</c:v>
                </c:pt>
                <c:pt idx="44">
                  <c:v>-8.8109999999999994E-3</c:v>
                </c:pt>
                <c:pt idx="45">
                  <c:v>-8.8470000000000007E-3</c:v>
                </c:pt>
                <c:pt idx="46">
                  <c:v>-8.8789999999999997E-3</c:v>
                </c:pt>
                <c:pt idx="47">
                  <c:v>-8.9090000000000003E-3</c:v>
                </c:pt>
                <c:pt idx="48">
                  <c:v>-8.9370000000000005E-3</c:v>
                </c:pt>
                <c:pt idx="49">
                  <c:v>-8.9630000000000005E-3</c:v>
                </c:pt>
                <c:pt idx="50">
                  <c:v>-8.9870000000000002E-3</c:v>
                </c:pt>
                <c:pt idx="51">
                  <c:v>-9.0080000000000004E-3</c:v>
                </c:pt>
                <c:pt idx="52">
                  <c:v>-9.0279999999999996E-3</c:v>
                </c:pt>
              </c:numCache>
            </c:numRef>
          </c:val>
          <c:smooth val="0"/>
          <c:extLst>
            <c:ext xmlns:c16="http://schemas.microsoft.com/office/drawing/2014/chart" uri="{C3380CC4-5D6E-409C-BE32-E72D297353CC}">
              <c16:uniqueId val="{00000002-59AB-4185-B117-FF35C2822996}"/>
            </c:ext>
          </c:extLst>
        </c:ser>
        <c:dLbls>
          <c:showLegendKey val="0"/>
          <c:showVal val="0"/>
          <c:showCatName val="0"/>
          <c:showSerName val="0"/>
          <c:showPercent val="0"/>
          <c:showBubbleSize val="0"/>
        </c:dLbls>
        <c:smooth val="0"/>
        <c:axId val="499259400"/>
        <c:axId val="499258224"/>
      </c:lineChart>
      <c:catAx>
        <c:axId val="499259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9258224"/>
        <c:crosses val="autoZero"/>
        <c:auto val="1"/>
        <c:lblAlgn val="ctr"/>
        <c:lblOffset val="100"/>
        <c:noMultiLvlLbl val="0"/>
      </c:catAx>
      <c:valAx>
        <c:axId val="499258224"/>
        <c:scaling>
          <c:orientation val="minMax"/>
          <c:max val="1.5000000000000003E-2"/>
          <c:min val="-1.0000000000000002E-2"/>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9259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'IRF - GER'!$C$2</c:f>
              <c:strCache>
                <c:ptCount val="1"/>
                <c:pt idx="0">
                  <c:v>LPK</c:v>
                </c:pt>
              </c:strCache>
            </c:strRef>
          </c:tx>
          <c:spPr>
            <a:ln w="28575" cap="rnd">
              <a:solidFill>
                <a:schemeClr val="accent1"/>
              </a:solidFill>
              <a:round/>
            </a:ln>
            <a:effectLst/>
          </c:spPr>
          <c:marker>
            <c:symbol val="none"/>
          </c:marker>
          <c:cat>
            <c:numRef>
              <c:f>'IRF - GER'!$B$3:$B$55</c:f>
              <c:numCache>
                <c:formatCode>General</c:formatCode>
                <c:ptCount val="53"/>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cat>
          <c:val>
            <c:numRef>
              <c:f>'IRF - GER'!$C$3:$C$55</c:f>
              <c:numCache>
                <c:formatCode>General</c:formatCode>
                <c:ptCount val="53"/>
                <c:pt idx="1">
                  <c:v>4.2269999999999999E-3</c:v>
                </c:pt>
                <c:pt idx="2">
                  <c:v>8.5500000000000003E-3</c:v>
                </c:pt>
                <c:pt idx="3">
                  <c:v>8.6669999999999994E-3</c:v>
                </c:pt>
                <c:pt idx="4">
                  <c:v>8.1910000000000004E-3</c:v>
                </c:pt>
                <c:pt idx="5">
                  <c:v>7.7140000000000004E-3</c:v>
                </c:pt>
                <c:pt idx="6">
                  <c:v>7.2849999999999998E-3</c:v>
                </c:pt>
                <c:pt idx="7">
                  <c:v>6.901E-3</c:v>
                </c:pt>
                <c:pt idx="8">
                  <c:v>6.5570000000000003E-3</c:v>
                </c:pt>
                <c:pt idx="9">
                  <c:v>6.2490000000000002E-3</c:v>
                </c:pt>
                <c:pt idx="10">
                  <c:v>5.9740000000000001E-3</c:v>
                </c:pt>
                <c:pt idx="11">
                  <c:v>5.7279999999999996E-3</c:v>
                </c:pt>
                <c:pt idx="12">
                  <c:v>5.5079999999999999E-3</c:v>
                </c:pt>
                <c:pt idx="13">
                  <c:v>5.3109999999999997E-3</c:v>
                </c:pt>
                <c:pt idx="14">
                  <c:v>5.1349999999999998E-3</c:v>
                </c:pt>
                <c:pt idx="15">
                  <c:v>4.9779999999999998E-3</c:v>
                </c:pt>
                <c:pt idx="16">
                  <c:v>4.8370000000000002E-3</c:v>
                </c:pt>
                <c:pt idx="17">
                  <c:v>4.7109999999999999E-3</c:v>
                </c:pt>
                <c:pt idx="18">
                  <c:v>4.5979999999999997E-3</c:v>
                </c:pt>
                <c:pt idx="19">
                  <c:v>4.4970000000000001E-3</c:v>
                </c:pt>
                <c:pt idx="20">
                  <c:v>4.4070000000000003E-3</c:v>
                </c:pt>
                <c:pt idx="21">
                  <c:v>4.3270000000000001E-3</c:v>
                </c:pt>
                <c:pt idx="22">
                  <c:v>4.2550000000000001E-3</c:v>
                </c:pt>
                <c:pt idx="23">
                  <c:v>4.1900000000000001E-3</c:v>
                </c:pt>
                <c:pt idx="24">
                  <c:v>4.1320000000000003E-3</c:v>
                </c:pt>
                <c:pt idx="25">
                  <c:v>4.0810000000000004E-3</c:v>
                </c:pt>
                <c:pt idx="26">
                  <c:v>4.0340000000000003E-3</c:v>
                </c:pt>
                <c:pt idx="27">
                  <c:v>3.993E-3</c:v>
                </c:pt>
                <c:pt idx="28">
                  <c:v>3.9560000000000003E-3</c:v>
                </c:pt>
                <c:pt idx="29">
                  <c:v>3.9230000000000003E-3</c:v>
                </c:pt>
                <c:pt idx="30">
                  <c:v>3.8939999999999999E-3</c:v>
                </c:pt>
                <c:pt idx="31">
                  <c:v>3.8670000000000002E-3</c:v>
                </c:pt>
                <c:pt idx="32">
                  <c:v>3.8430000000000001E-3</c:v>
                </c:pt>
                <c:pt idx="33">
                  <c:v>3.8219999999999999E-3</c:v>
                </c:pt>
                <c:pt idx="34">
                  <c:v>3.803E-3</c:v>
                </c:pt>
                <c:pt idx="35">
                  <c:v>3.7859999999999999E-3</c:v>
                </c:pt>
                <c:pt idx="36">
                  <c:v>3.771E-3</c:v>
                </c:pt>
                <c:pt idx="37">
                  <c:v>3.7580000000000001E-3</c:v>
                </c:pt>
                <c:pt idx="38">
                  <c:v>3.7460000000000002E-3</c:v>
                </c:pt>
                <c:pt idx="39">
                  <c:v>3.735E-3</c:v>
                </c:pt>
                <c:pt idx="40">
                  <c:v>3.725E-3</c:v>
                </c:pt>
                <c:pt idx="41">
                  <c:v>3.7160000000000001E-3</c:v>
                </c:pt>
                <c:pt idx="42">
                  <c:v>3.7090000000000001E-3</c:v>
                </c:pt>
                <c:pt idx="43">
                  <c:v>3.702E-3</c:v>
                </c:pt>
                <c:pt idx="44">
                  <c:v>3.6960000000000001E-3</c:v>
                </c:pt>
                <c:pt idx="45">
                  <c:v>3.6900000000000001E-3</c:v>
                </c:pt>
                <c:pt idx="46">
                  <c:v>3.6849999999999999E-3</c:v>
                </c:pt>
                <c:pt idx="47">
                  <c:v>3.6809999999999998E-3</c:v>
                </c:pt>
                <c:pt idx="48">
                  <c:v>3.6770000000000001E-3</c:v>
                </c:pt>
                <c:pt idx="49">
                  <c:v>3.673E-3</c:v>
                </c:pt>
                <c:pt idx="50">
                  <c:v>3.6700000000000001E-3</c:v>
                </c:pt>
                <c:pt idx="51">
                  <c:v>3.6670000000000001E-3</c:v>
                </c:pt>
                <c:pt idx="52">
                  <c:v>3.6640000000000002E-3</c:v>
                </c:pt>
              </c:numCache>
            </c:numRef>
          </c:val>
          <c:smooth val="0"/>
          <c:extLst>
            <c:ext xmlns:c16="http://schemas.microsoft.com/office/drawing/2014/chart" uri="{C3380CC4-5D6E-409C-BE32-E72D297353CC}">
              <c16:uniqueId val="{00000000-8279-4FC5-9D47-927EAF2D97CE}"/>
            </c:ext>
          </c:extLst>
        </c:ser>
        <c:ser>
          <c:idx val="1"/>
          <c:order val="1"/>
          <c:tx>
            <c:strRef>
              <c:f>'IRF - GER'!$D$2</c:f>
              <c:strCache>
                <c:ptCount val="1"/>
                <c:pt idx="0">
                  <c:v>LIND</c:v>
                </c:pt>
              </c:strCache>
            </c:strRef>
          </c:tx>
          <c:spPr>
            <a:ln w="28575" cap="rnd">
              <a:solidFill>
                <a:schemeClr val="accent2"/>
              </a:solidFill>
              <a:round/>
            </a:ln>
            <a:effectLst/>
          </c:spPr>
          <c:marker>
            <c:symbol val="none"/>
          </c:marker>
          <c:cat>
            <c:numRef>
              <c:f>'IRF - GER'!$B$3:$B$55</c:f>
              <c:numCache>
                <c:formatCode>General</c:formatCode>
                <c:ptCount val="53"/>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cat>
          <c:val>
            <c:numRef>
              <c:f>'IRF - GER'!$D$3:$D$55</c:f>
              <c:numCache>
                <c:formatCode>General</c:formatCode>
                <c:ptCount val="53"/>
                <c:pt idx="1">
                  <c:v>1.8898999999999999E-2</c:v>
                </c:pt>
                <c:pt idx="2">
                  <c:v>1.9994000000000001E-2</c:v>
                </c:pt>
                <c:pt idx="3">
                  <c:v>1.7909000000000001E-2</c:v>
                </c:pt>
                <c:pt idx="4">
                  <c:v>1.6265000000000002E-2</c:v>
                </c:pt>
                <c:pt idx="5">
                  <c:v>1.4815999999999999E-2</c:v>
                </c:pt>
                <c:pt idx="6">
                  <c:v>1.3523E-2</c:v>
                </c:pt>
                <c:pt idx="7">
                  <c:v>1.2366E-2</c:v>
                </c:pt>
                <c:pt idx="8">
                  <c:v>1.1332E-2</c:v>
                </c:pt>
                <c:pt idx="9">
                  <c:v>1.0406E-2</c:v>
                </c:pt>
                <c:pt idx="10">
                  <c:v>9.5779999999999997E-3</c:v>
                </c:pt>
                <c:pt idx="11">
                  <c:v>8.8380000000000004E-3</c:v>
                </c:pt>
                <c:pt idx="12">
                  <c:v>8.1759999999999992E-3</c:v>
                </c:pt>
                <c:pt idx="13">
                  <c:v>7.5830000000000003E-3</c:v>
                </c:pt>
                <c:pt idx="14">
                  <c:v>7.0530000000000002E-3</c:v>
                </c:pt>
                <c:pt idx="15">
                  <c:v>6.5789999999999998E-3</c:v>
                </c:pt>
                <c:pt idx="16">
                  <c:v>6.1549999999999999E-3</c:v>
                </c:pt>
                <c:pt idx="17">
                  <c:v>5.7759999999999999E-3</c:v>
                </c:pt>
                <c:pt idx="18">
                  <c:v>5.437E-3</c:v>
                </c:pt>
                <c:pt idx="19">
                  <c:v>5.1330000000000004E-3</c:v>
                </c:pt>
                <c:pt idx="20">
                  <c:v>4.862E-3</c:v>
                </c:pt>
                <c:pt idx="21">
                  <c:v>4.6189999999999998E-3</c:v>
                </c:pt>
                <c:pt idx="22">
                  <c:v>4.4019999999999997E-3</c:v>
                </c:pt>
                <c:pt idx="23">
                  <c:v>4.2079999999999999E-3</c:v>
                </c:pt>
                <c:pt idx="24">
                  <c:v>4.0340000000000003E-3</c:v>
                </c:pt>
                <c:pt idx="25">
                  <c:v>3.8790000000000001E-3</c:v>
                </c:pt>
                <c:pt idx="26">
                  <c:v>3.7399999999999998E-3</c:v>
                </c:pt>
                <c:pt idx="27">
                  <c:v>3.6150000000000002E-3</c:v>
                </c:pt>
                <c:pt idx="28">
                  <c:v>3.5040000000000002E-3</c:v>
                </c:pt>
                <c:pt idx="29">
                  <c:v>3.405E-3</c:v>
                </c:pt>
                <c:pt idx="30">
                  <c:v>3.3159999999999999E-3</c:v>
                </c:pt>
                <c:pt idx="31">
                  <c:v>3.2360000000000002E-3</c:v>
                </c:pt>
                <c:pt idx="32">
                  <c:v>3.1649999999999998E-3</c:v>
                </c:pt>
                <c:pt idx="33">
                  <c:v>3.101E-3</c:v>
                </c:pt>
                <c:pt idx="34">
                  <c:v>3.0439999999999998E-3</c:v>
                </c:pt>
                <c:pt idx="35">
                  <c:v>2.993E-3</c:v>
                </c:pt>
                <c:pt idx="36">
                  <c:v>2.9480000000000001E-3</c:v>
                </c:pt>
                <c:pt idx="37">
                  <c:v>2.9069999999999999E-3</c:v>
                </c:pt>
                <c:pt idx="38">
                  <c:v>2.8700000000000002E-3</c:v>
                </c:pt>
                <c:pt idx="39">
                  <c:v>2.8379999999999998E-3</c:v>
                </c:pt>
                <c:pt idx="40">
                  <c:v>2.8089999999999999E-3</c:v>
                </c:pt>
                <c:pt idx="41">
                  <c:v>2.7829999999999999E-3</c:v>
                </c:pt>
                <c:pt idx="42">
                  <c:v>2.7590000000000002E-3</c:v>
                </c:pt>
                <c:pt idx="43">
                  <c:v>2.738E-3</c:v>
                </c:pt>
                <c:pt idx="44">
                  <c:v>2.7200000000000002E-3</c:v>
                </c:pt>
                <c:pt idx="45">
                  <c:v>2.7030000000000001E-3</c:v>
                </c:pt>
                <c:pt idx="46">
                  <c:v>2.6879999999999999E-3</c:v>
                </c:pt>
                <c:pt idx="47">
                  <c:v>2.6749999999999999E-3</c:v>
                </c:pt>
                <c:pt idx="48">
                  <c:v>2.663E-3</c:v>
                </c:pt>
                <c:pt idx="49">
                  <c:v>2.6519999999999998E-3</c:v>
                </c:pt>
                <c:pt idx="50">
                  <c:v>2.6419999999999998E-3</c:v>
                </c:pt>
                <c:pt idx="51">
                  <c:v>2.6340000000000001E-3</c:v>
                </c:pt>
                <c:pt idx="52">
                  <c:v>2.6259999999999999E-3</c:v>
                </c:pt>
              </c:numCache>
            </c:numRef>
          </c:val>
          <c:smooth val="0"/>
          <c:extLst>
            <c:ext xmlns:c16="http://schemas.microsoft.com/office/drawing/2014/chart" uri="{C3380CC4-5D6E-409C-BE32-E72D297353CC}">
              <c16:uniqueId val="{00000001-8279-4FC5-9D47-927EAF2D97CE}"/>
            </c:ext>
          </c:extLst>
        </c:ser>
        <c:ser>
          <c:idx val="2"/>
          <c:order val="2"/>
          <c:tx>
            <c:strRef>
              <c:f>'IRF - GER'!$E$2</c:f>
              <c:strCache>
                <c:ptCount val="1"/>
                <c:pt idx="0">
                  <c:v>LCN</c:v>
                </c:pt>
              </c:strCache>
            </c:strRef>
          </c:tx>
          <c:spPr>
            <a:ln w="28575" cap="rnd">
              <a:solidFill>
                <a:schemeClr val="accent3"/>
              </a:solidFill>
              <a:round/>
            </a:ln>
            <a:effectLst/>
          </c:spPr>
          <c:marker>
            <c:symbol val="none"/>
          </c:marker>
          <c:cat>
            <c:numRef>
              <c:f>'IRF - GER'!$B$3:$B$55</c:f>
              <c:numCache>
                <c:formatCode>General</c:formatCode>
                <c:ptCount val="53"/>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numCache>
            </c:numRef>
          </c:cat>
          <c:val>
            <c:numRef>
              <c:f>'IRF - GER'!$E$3:$E$55</c:f>
              <c:numCache>
                <c:formatCode>General</c:formatCode>
                <c:ptCount val="53"/>
                <c:pt idx="1">
                  <c:v>7.809E-3</c:v>
                </c:pt>
                <c:pt idx="2">
                  <c:v>1.4926999999999999E-2</c:v>
                </c:pt>
                <c:pt idx="3">
                  <c:v>1.4086E-2</c:v>
                </c:pt>
                <c:pt idx="4">
                  <c:v>1.3165E-2</c:v>
                </c:pt>
                <c:pt idx="5">
                  <c:v>1.2371999999999999E-2</c:v>
                </c:pt>
                <c:pt idx="6">
                  <c:v>1.1665999999999999E-2</c:v>
                </c:pt>
                <c:pt idx="7">
                  <c:v>1.1035E-2</c:v>
                </c:pt>
                <c:pt idx="8">
                  <c:v>1.0470999999999999E-2</c:v>
                </c:pt>
                <c:pt idx="9">
                  <c:v>9.9659999999999992E-3</c:v>
                </c:pt>
                <c:pt idx="10">
                  <c:v>9.5149999999999992E-3</c:v>
                </c:pt>
                <c:pt idx="11">
                  <c:v>9.1109999999999993E-3</c:v>
                </c:pt>
                <c:pt idx="12">
                  <c:v>8.7489999999999998E-3</c:v>
                </c:pt>
                <c:pt idx="13">
                  <c:v>8.4259999999999995E-3</c:v>
                </c:pt>
                <c:pt idx="14">
                  <c:v>8.1370000000000001E-3</c:v>
                </c:pt>
                <c:pt idx="15">
                  <c:v>7.8790000000000006E-3</c:v>
                </c:pt>
                <c:pt idx="16">
                  <c:v>7.6470000000000002E-3</c:v>
                </c:pt>
                <c:pt idx="17">
                  <c:v>7.4409999999999997E-3</c:v>
                </c:pt>
                <c:pt idx="18">
                  <c:v>7.2560000000000003E-3</c:v>
                </c:pt>
                <c:pt idx="19">
                  <c:v>7.0899999999999999E-3</c:v>
                </c:pt>
                <c:pt idx="20">
                  <c:v>6.9420000000000003E-3</c:v>
                </c:pt>
                <c:pt idx="21">
                  <c:v>6.8100000000000001E-3</c:v>
                </c:pt>
                <c:pt idx="22">
                  <c:v>6.6909999999999999E-3</c:v>
                </c:pt>
                <c:pt idx="23">
                  <c:v>6.5849999999999997E-3</c:v>
                </c:pt>
                <c:pt idx="24">
                  <c:v>6.4900000000000001E-3</c:v>
                </c:pt>
                <c:pt idx="25">
                  <c:v>6.4060000000000002E-3</c:v>
                </c:pt>
                <c:pt idx="26">
                  <c:v>6.3299999999999997E-3</c:v>
                </c:pt>
                <c:pt idx="27">
                  <c:v>6.2620000000000002E-3</c:v>
                </c:pt>
                <c:pt idx="28">
                  <c:v>6.2009999999999999E-3</c:v>
                </c:pt>
                <c:pt idx="29">
                  <c:v>6.1469999999999997E-3</c:v>
                </c:pt>
                <c:pt idx="30">
                  <c:v>6.0980000000000001E-3</c:v>
                </c:pt>
                <c:pt idx="31">
                  <c:v>6.0549999999999996E-3</c:v>
                </c:pt>
                <c:pt idx="32">
                  <c:v>6.0159999999999996E-3</c:v>
                </c:pt>
                <c:pt idx="33">
                  <c:v>5.9810000000000002E-3</c:v>
                </c:pt>
                <c:pt idx="34">
                  <c:v>5.9500000000000004E-3</c:v>
                </c:pt>
                <c:pt idx="35">
                  <c:v>5.9230000000000003E-3</c:v>
                </c:pt>
                <c:pt idx="36">
                  <c:v>5.8979999999999996E-3</c:v>
                </c:pt>
                <c:pt idx="37">
                  <c:v>5.875E-3</c:v>
                </c:pt>
                <c:pt idx="38">
                  <c:v>5.8560000000000001E-3</c:v>
                </c:pt>
                <c:pt idx="39">
                  <c:v>5.8380000000000003E-3</c:v>
                </c:pt>
                <c:pt idx="40">
                  <c:v>5.8219999999999999E-3</c:v>
                </c:pt>
                <c:pt idx="41">
                  <c:v>5.8079999999999998E-3</c:v>
                </c:pt>
                <c:pt idx="42">
                  <c:v>5.7949999999999998E-3</c:v>
                </c:pt>
                <c:pt idx="43">
                  <c:v>5.7829999999999999E-3</c:v>
                </c:pt>
                <c:pt idx="44">
                  <c:v>5.7730000000000004E-3</c:v>
                </c:pt>
                <c:pt idx="45">
                  <c:v>5.764E-3</c:v>
                </c:pt>
                <c:pt idx="46">
                  <c:v>5.7559999999999998E-3</c:v>
                </c:pt>
                <c:pt idx="47">
                  <c:v>5.7489999999999998E-3</c:v>
                </c:pt>
                <c:pt idx="48">
                  <c:v>5.7419999999999997E-3</c:v>
                </c:pt>
                <c:pt idx="49">
                  <c:v>5.7359999999999998E-3</c:v>
                </c:pt>
                <c:pt idx="50">
                  <c:v>5.731E-3</c:v>
                </c:pt>
                <c:pt idx="51">
                  <c:v>5.7270000000000003E-3</c:v>
                </c:pt>
                <c:pt idx="52">
                  <c:v>5.7219999999999997E-3</c:v>
                </c:pt>
              </c:numCache>
            </c:numRef>
          </c:val>
          <c:smooth val="0"/>
          <c:extLst>
            <c:ext xmlns:c16="http://schemas.microsoft.com/office/drawing/2014/chart" uri="{C3380CC4-5D6E-409C-BE32-E72D297353CC}">
              <c16:uniqueId val="{00000002-8279-4FC5-9D47-927EAF2D97CE}"/>
            </c:ext>
          </c:extLst>
        </c:ser>
        <c:dLbls>
          <c:showLegendKey val="0"/>
          <c:showVal val="0"/>
          <c:showCatName val="0"/>
          <c:showSerName val="0"/>
          <c:showPercent val="0"/>
          <c:showBubbleSize val="0"/>
        </c:dLbls>
        <c:smooth val="0"/>
        <c:axId val="499261752"/>
        <c:axId val="499260968"/>
      </c:lineChart>
      <c:catAx>
        <c:axId val="49926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9260968"/>
        <c:crosses val="autoZero"/>
        <c:auto val="1"/>
        <c:lblAlgn val="ctr"/>
        <c:lblOffset val="100"/>
        <c:noMultiLvlLbl val="0"/>
      </c:catAx>
      <c:valAx>
        <c:axId val="499260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926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'IRF - JN'!$C$2</c:f>
              <c:strCache>
                <c:ptCount val="1"/>
                <c:pt idx="0">
                  <c:v>LPK</c:v>
                </c:pt>
              </c:strCache>
            </c:strRef>
          </c:tx>
          <c:spPr>
            <a:ln w="28575" cap="rnd">
              <a:solidFill>
                <a:schemeClr val="accent1"/>
              </a:solidFill>
              <a:round/>
            </a:ln>
            <a:effectLst/>
          </c:spPr>
          <c:marker>
            <c:symbol val="none"/>
          </c:marker>
          <c:cat>
            <c:numRef>
              <c:f>'IRF - JN'!$B$3:$B$56</c:f>
              <c:numCache>
                <c:formatCode>General</c:formatCode>
                <c:ptCount val="54"/>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pt idx="27">
                  <c:v>26</c:v>
                </c:pt>
                <c:pt idx="28">
                  <c:v>27</c:v>
                </c:pt>
                <c:pt idx="29">
                  <c:v>28</c:v>
                </c:pt>
                <c:pt idx="30">
                  <c:v>29</c:v>
                </c:pt>
                <c:pt idx="31">
                  <c:v>30</c:v>
                </c:pt>
                <c:pt idx="32">
                  <c:v>31</c:v>
                </c:pt>
                <c:pt idx="33">
                  <c:v>32</c:v>
                </c:pt>
                <c:pt idx="34">
                  <c:v>33</c:v>
                </c:pt>
                <c:pt idx="35">
                  <c:v>34</c:v>
                </c:pt>
                <c:pt idx="36">
                  <c:v>35</c:v>
                </c:pt>
                <c:pt idx="37">
                  <c:v>36</c:v>
                </c:pt>
                <c:pt idx="38">
                  <c:v>37</c:v>
                </c:pt>
                <c:pt idx="39">
                  <c:v>38</c:v>
                </c:pt>
                <c:pt idx="40">
                  <c:v>39</c:v>
                </c:pt>
                <c:pt idx="41">
                  <c:v>40</c:v>
                </c:pt>
                <c:pt idx="42">
                  <c:v>41</c:v>
                </c:pt>
                <c:pt idx="43">
                  <c:v>42</c:v>
                </c:pt>
                <c:pt idx="44">
                  <c:v>43</c:v>
                </c:pt>
                <c:pt idx="45">
                  <c:v>44</c:v>
                </c:pt>
                <c:pt idx="46">
                  <c:v>45</c:v>
                </c:pt>
                <c:pt idx="47">
                  <c:v>46</c:v>
                </c:pt>
                <c:pt idx="48">
                  <c:v>47</c:v>
                </c:pt>
                <c:pt idx="49">
                  <c:v>48</c:v>
                </c:pt>
                <c:pt idx="50">
                  <c:v>49</c:v>
                </c:pt>
                <c:pt idx="51">
                  <c:v>50</c:v>
                </c:pt>
                <c:pt idx="52">
                  <c:v>51</c:v>
                </c:pt>
                <c:pt idx="53">
                  <c:v>52</c:v>
                </c:pt>
              </c:numCache>
            </c:numRef>
          </c:cat>
          <c:val>
            <c:numRef>
              <c:f>'IRF - JN'!$C$3:$C$56</c:f>
              <c:numCache>
                <c:formatCode>General</c:formatCode>
                <c:ptCount val="54"/>
                <c:pt idx="2">
                  <c:v>5.6829999999999997E-3</c:v>
                </c:pt>
                <c:pt idx="3">
                  <c:v>8.9960000000000005E-3</c:v>
                </c:pt>
                <c:pt idx="4">
                  <c:v>1.0303E-2</c:v>
                </c:pt>
                <c:pt idx="5">
                  <c:v>1.1103E-2</c:v>
                </c:pt>
                <c:pt idx="6">
                  <c:v>1.1738999999999999E-2</c:v>
                </c:pt>
                <c:pt idx="7">
                  <c:v>1.2285000000000001E-2</c:v>
                </c:pt>
                <c:pt idx="8">
                  <c:v>1.2763E-2</c:v>
                </c:pt>
                <c:pt idx="9">
                  <c:v>1.3184E-2</c:v>
                </c:pt>
                <c:pt idx="10">
                  <c:v>1.3553000000000001E-2</c:v>
                </c:pt>
                <c:pt idx="11">
                  <c:v>1.3879000000000001E-2</c:v>
                </c:pt>
                <c:pt idx="12">
                  <c:v>1.4165000000000001E-2</c:v>
                </c:pt>
                <c:pt idx="13">
                  <c:v>1.4416999999999999E-2</c:v>
                </c:pt>
                <c:pt idx="14">
                  <c:v>1.4638E-2</c:v>
                </c:pt>
                <c:pt idx="15">
                  <c:v>1.4833000000000001E-2</c:v>
                </c:pt>
                <c:pt idx="16">
                  <c:v>1.5004999999999999E-2</c:v>
                </c:pt>
                <c:pt idx="17">
                  <c:v>1.5155999999999999E-2</c:v>
                </c:pt>
                <c:pt idx="18">
                  <c:v>1.5289000000000001E-2</c:v>
                </c:pt>
                <c:pt idx="19">
                  <c:v>1.5406E-2</c:v>
                </c:pt>
                <c:pt idx="20">
                  <c:v>1.5507999999999999E-2</c:v>
                </c:pt>
                <c:pt idx="21">
                  <c:v>1.5599E-2</c:v>
                </c:pt>
                <c:pt idx="22">
                  <c:v>1.5678999999999998E-2</c:v>
                </c:pt>
                <c:pt idx="23">
                  <c:v>1.5748999999999999E-2</c:v>
                </c:pt>
                <c:pt idx="24">
                  <c:v>1.5810000000000001E-2</c:v>
                </c:pt>
                <c:pt idx="25">
                  <c:v>1.5864E-2</c:v>
                </c:pt>
                <c:pt idx="26">
                  <c:v>1.5911999999999999E-2</c:v>
                </c:pt>
                <c:pt idx="27">
                  <c:v>1.5953999999999999E-2</c:v>
                </c:pt>
                <c:pt idx="28">
                  <c:v>1.5990999999999998E-2</c:v>
                </c:pt>
                <c:pt idx="29">
                  <c:v>1.6024E-2</c:v>
                </c:pt>
                <c:pt idx="30">
                  <c:v>1.6052E-2</c:v>
                </c:pt>
                <c:pt idx="31">
                  <c:v>1.6077000000000001E-2</c:v>
                </c:pt>
                <c:pt idx="32">
                  <c:v>1.6098999999999999E-2</c:v>
                </c:pt>
                <c:pt idx="33">
                  <c:v>1.6119000000000001E-2</c:v>
                </c:pt>
                <c:pt idx="34">
                  <c:v>1.6136000000000001E-2</c:v>
                </c:pt>
                <c:pt idx="35">
                  <c:v>1.6150999999999999E-2</c:v>
                </c:pt>
                <c:pt idx="36">
                  <c:v>1.6164000000000001E-2</c:v>
                </c:pt>
                <c:pt idx="37">
                  <c:v>1.6175999999999999E-2</c:v>
                </c:pt>
                <c:pt idx="38">
                  <c:v>1.6185999999999999E-2</c:v>
                </c:pt>
                <c:pt idx="39">
                  <c:v>1.6195000000000001E-2</c:v>
                </c:pt>
                <c:pt idx="40">
                  <c:v>1.6202999999999999E-2</c:v>
                </c:pt>
                <c:pt idx="41">
                  <c:v>1.6209999999999999E-2</c:v>
                </c:pt>
                <c:pt idx="42">
                  <c:v>1.6216000000000001E-2</c:v>
                </c:pt>
                <c:pt idx="43">
                  <c:v>1.6222E-2</c:v>
                </c:pt>
                <c:pt idx="44">
                  <c:v>1.6226999999999998E-2</c:v>
                </c:pt>
                <c:pt idx="45">
                  <c:v>1.6230999999999999E-2</c:v>
                </c:pt>
                <c:pt idx="46">
                  <c:v>1.6234999999999999E-2</c:v>
                </c:pt>
                <c:pt idx="47">
                  <c:v>1.6237999999999999E-2</c:v>
                </c:pt>
                <c:pt idx="48">
                  <c:v>1.6240999999999998E-2</c:v>
                </c:pt>
                <c:pt idx="49">
                  <c:v>1.6243E-2</c:v>
                </c:pt>
                <c:pt idx="50">
                  <c:v>1.6244999999999999E-2</c:v>
                </c:pt>
                <c:pt idx="51">
                  <c:v>1.6247000000000001E-2</c:v>
                </c:pt>
                <c:pt idx="52">
                  <c:v>1.6249E-2</c:v>
                </c:pt>
                <c:pt idx="53">
                  <c:v>1.6251000000000002E-2</c:v>
                </c:pt>
              </c:numCache>
            </c:numRef>
          </c:val>
          <c:smooth val="0"/>
          <c:extLst>
            <c:ext xmlns:c16="http://schemas.microsoft.com/office/drawing/2014/chart" uri="{C3380CC4-5D6E-409C-BE32-E72D297353CC}">
              <c16:uniqueId val="{00000000-C11E-4589-B693-22CB0B4D026D}"/>
            </c:ext>
          </c:extLst>
        </c:ser>
        <c:ser>
          <c:idx val="1"/>
          <c:order val="1"/>
          <c:tx>
            <c:strRef>
              <c:f>'IRF - JN'!$D$2</c:f>
              <c:strCache>
                <c:ptCount val="1"/>
                <c:pt idx="0">
                  <c:v>LIND</c:v>
                </c:pt>
              </c:strCache>
            </c:strRef>
          </c:tx>
          <c:spPr>
            <a:ln w="28575" cap="rnd">
              <a:solidFill>
                <a:schemeClr val="accent2"/>
              </a:solidFill>
              <a:round/>
            </a:ln>
            <a:effectLst/>
          </c:spPr>
          <c:marker>
            <c:symbol val="none"/>
          </c:marker>
          <c:cat>
            <c:numRef>
              <c:f>'IRF - JN'!$B$3:$B$56</c:f>
              <c:numCache>
                <c:formatCode>General</c:formatCode>
                <c:ptCount val="54"/>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pt idx="27">
                  <c:v>26</c:v>
                </c:pt>
                <c:pt idx="28">
                  <c:v>27</c:v>
                </c:pt>
                <c:pt idx="29">
                  <c:v>28</c:v>
                </c:pt>
                <c:pt idx="30">
                  <c:v>29</c:v>
                </c:pt>
                <c:pt idx="31">
                  <c:v>30</c:v>
                </c:pt>
                <c:pt idx="32">
                  <c:v>31</c:v>
                </c:pt>
                <c:pt idx="33">
                  <c:v>32</c:v>
                </c:pt>
                <c:pt idx="34">
                  <c:v>33</c:v>
                </c:pt>
                <c:pt idx="35">
                  <c:v>34</c:v>
                </c:pt>
                <c:pt idx="36">
                  <c:v>35</c:v>
                </c:pt>
                <c:pt idx="37">
                  <c:v>36</c:v>
                </c:pt>
                <c:pt idx="38">
                  <c:v>37</c:v>
                </c:pt>
                <c:pt idx="39">
                  <c:v>38</c:v>
                </c:pt>
                <c:pt idx="40">
                  <c:v>39</c:v>
                </c:pt>
                <c:pt idx="41">
                  <c:v>40</c:v>
                </c:pt>
                <c:pt idx="42">
                  <c:v>41</c:v>
                </c:pt>
                <c:pt idx="43">
                  <c:v>42</c:v>
                </c:pt>
                <c:pt idx="44">
                  <c:v>43</c:v>
                </c:pt>
                <c:pt idx="45">
                  <c:v>44</c:v>
                </c:pt>
                <c:pt idx="46">
                  <c:v>45</c:v>
                </c:pt>
                <c:pt idx="47">
                  <c:v>46</c:v>
                </c:pt>
                <c:pt idx="48">
                  <c:v>47</c:v>
                </c:pt>
                <c:pt idx="49">
                  <c:v>48</c:v>
                </c:pt>
                <c:pt idx="50">
                  <c:v>49</c:v>
                </c:pt>
                <c:pt idx="51">
                  <c:v>50</c:v>
                </c:pt>
                <c:pt idx="52">
                  <c:v>51</c:v>
                </c:pt>
                <c:pt idx="53">
                  <c:v>52</c:v>
                </c:pt>
              </c:numCache>
            </c:numRef>
          </c:cat>
          <c:val>
            <c:numRef>
              <c:f>'IRF - JN'!$D$3:$D$56</c:f>
              <c:numCache>
                <c:formatCode>General</c:formatCode>
                <c:ptCount val="54"/>
                <c:pt idx="2">
                  <c:v>1.7707000000000001E-2</c:v>
                </c:pt>
                <c:pt idx="3">
                  <c:v>1.7333999999999999E-2</c:v>
                </c:pt>
                <c:pt idx="4">
                  <c:v>1.6799000000000001E-2</c:v>
                </c:pt>
                <c:pt idx="5">
                  <c:v>1.6233999999999998E-2</c:v>
                </c:pt>
                <c:pt idx="6">
                  <c:v>1.5715E-2</c:v>
                </c:pt>
                <c:pt idx="7">
                  <c:v>1.5254999999999999E-2</c:v>
                </c:pt>
                <c:pt idx="8">
                  <c:v>1.485E-2</c:v>
                </c:pt>
                <c:pt idx="9">
                  <c:v>1.4494E-2</c:v>
                </c:pt>
                <c:pt idx="10">
                  <c:v>1.418E-2</c:v>
                </c:pt>
                <c:pt idx="11">
                  <c:v>1.3903E-2</c:v>
                </c:pt>
                <c:pt idx="12">
                  <c:v>1.366E-2</c:v>
                </c:pt>
                <c:pt idx="13">
                  <c:v>1.3447000000000001E-2</c:v>
                </c:pt>
                <c:pt idx="14">
                  <c:v>1.3259E-2</c:v>
                </c:pt>
                <c:pt idx="15">
                  <c:v>1.3093E-2</c:v>
                </c:pt>
                <c:pt idx="16">
                  <c:v>1.2947E-2</c:v>
                </c:pt>
                <c:pt idx="17">
                  <c:v>1.2819000000000001E-2</c:v>
                </c:pt>
                <c:pt idx="18">
                  <c:v>1.2706E-2</c:v>
                </c:pt>
                <c:pt idx="19">
                  <c:v>1.2607E-2</c:v>
                </c:pt>
                <c:pt idx="20">
                  <c:v>1.252E-2</c:v>
                </c:pt>
                <c:pt idx="21">
                  <c:v>1.2442999999999999E-2</c:v>
                </c:pt>
                <c:pt idx="22">
                  <c:v>1.2376E-2</c:v>
                </c:pt>
                <c:pt idx="23">
                  <c:v>1.2316000000000001E-2</c:v>
                </c:pt>
                <c:pt idx="24">
                  <c:v>1.2264000000000001E-2</c:v>
                </c:pt>
                <c:pt idx="25">
                  <c:v>1.2218E-2</c:v>
                </c:pt>
                <c:pt idx="26">
                  <c:v>1.2177E-2</c:v>
                </c:pt>
                <c:pt idx="27">
                  <c:v>1.2142E-2</c:v>
                </c:pt>
                <c:pt idx="28">
                  <c:v>1.2109999999999999E-2</c:v>
                </c:pt>
                <c:pt idx="29">
                  <c:v>1.2083E-2</c:v>
                </c:pt>
                <c:pt idx="30">
                  <c:v>1.2057999999999999E-2</c:v>
                </c:pt>
                <c:pt idx="31">
                  <c:v>1.2037000000000001E-2</c:v>
                </c:pt>
                <c:pt idx="32">
                  <c:v>1.2017999999999999E-2</c:v>
                </c:pt>
                <c:pt idx="33">
                  <c:v>1.2002000000000001E-2</c:v>
                </c:pt>
                <c:pt idx="34">
                  <c:v>1.1986999999999999E-2</c:v>
                </c:pt>
                <c:pt idx="35">
                  <c:v>1.1974E-2</c:v>
                </c:pt>
                <c:pt idx="36">
                  <c:v>1.1963E-2</c:v>
                </c:pt>
                <c:pt idx="37">
                  <c:v>1.1953E-2</c:v>
                </c:pt>
                <c:pt idx="38">
                  <c:v>1.1945000000000001E-2</c:v>
                </c:pt>
                <c:pt idx="39">
                  <c:v>1.1937E-2</c:v>
                </c:pt>
                <c:pt idx="40">
                  <c:v>1.193E-2</c:v>
                </c:pt>
                <c:pt idx="41">
                  <c:v>1.1924000000000001E-2</c:v>
                </c:pt>
                <c:pt idx="42">
                  <c:v>1.1919000000000001E-2</c:v>
                </c:pt>
                <c:pt idx="43">
                  <c:v>1.1913999999999999E-2</c:v>
                </c:pt>
                <c:pt idx="44">
                  <c:v>1.191E-2</c:v>
                </c:pt>
                <c:pt idx="45">
                  <c:v>1.1906999999999999E-2</c:v>
                </c:pt>
                <c:pt idx="46">
                  <c:v>1.1904E-2</c:v>
                </c:pt>
                <c:pt idx="47">
                  <c:v>1.1901E-2</c:v>
                </c:pt>
                <c:pt idx="48">
                  <c:v>1.1898000000000001E-2</c:v>
                </c:pt>
                <c:pt idx="49">
                  <c:v>1.1896E-2</c:v>
                </c:pt>
                <c:pt idx="50">
                  <c:v>1.1894E-2</c:v>
                </c:pt>
                <c:pt idx="51">
                  <c:v>1.1893000000000001E-2</c:v>
                </c:pt>
                <c:pt idx="52">
                  <c:v>1.1891000000000001E-2</c:v>
                </c:pt>
                <c:pt idx="53">
                  <c:v>1.189E-2</c:v>
                </c:pt>
              </c:numCache>
            </c:numRef>
          </c:val>
          <c:smooth val="0"/>
          <c:extLst>
            <c:ext xmlns:c16="http://schemas.microsoft.com/office/drawing/2014/chart" uri="{C3380CC4-5D6E-409C-BE32-E72D297353CC}">
              <c16:uniqueId val="{00000001-C11E-4589-B693-22CB0B4D026D}"/>
            </c:ext>
          </c:extLst>
        </c:ser>
        <c:ser>
          <c:idx val="2"/>
          <c:order val="2"/>
          <c:tx>
            <c:strRef>
              <c:f>'IRF - JN'!$E$2</c:f>
              <c:strCache>
                <c:ptCount val="1"/>
                <c:pt idx="0">
                  <c:v>LCN</c:v>
                </c:pt>
              </c:strCache>
            </c:strRef>
          </c:tx>
          <c:spPr>
            <a:ln w="28575" cap="rnd">
              <a:solidFill>
                <a:schemeClr val="accent3"/>
              </a:solidFill>
              <a:round/>
            </a:ln>
            <a:effectLst/>
          </c:spPr>
          <c:marker>
            <c:symbol val="none"/>
          </c:marker>
          <c:cat>
            <c:numRef>
              <c:f>'IRF - JN'!$B$3:$B$56</c:f>
              <c:numCache>
                <c:formatCode>General</c:formatCode>
                <c:ptCount val="54"/>
                <c:pt idx="2">
                  <c:v>1</c:v>
                </c:pt>
                <c:pt idx="3">
                  <c:v>2</c:v>
                </c:pt>
                <c:pt idx="4">
                  <c:v>3</c:v>
                </c:pt>
                <c:pt idx="5">
                  <c:v>4</c:v>
                </c:pt>
                <c:pt idx="6">
                  <c:v>5</c:v>
                </c:pt>
                <c:pt idx="7">
                  <c:v>6</c:v>
                </c:pt>
                <c:pt idx="8">
                  <c:v>7</c:v>
                </c:pt>
                <c:pt idx="9">
                  <c:v>8</c:v>
                </c:pt>
                <c:pt idx="10">
                  <c:v>9</c:v>
                </c:pt>
                <c:pt idx="11">
                  <c:v>10</c:v>
                </c:pt>
                <c:pt idx="12">
                  <c:v>11</c:v>
                </c:pt>
                <c:pt idx="13">
                  <c:v>12</c:v>
                </c:pt>
                <c:pt idx="14">
                  <c:v>13</c:v>
                </c:pt>
                <c:pt idx="15">
                  <c:v>14</c:v>
                </c:pt>
                <c:pt idx="16">
                  <c:v>15</c:v>
                </c:pt>
                <c:pt idx="17">
                  <c:v>16</c:v>
                </c:pt>
                <c:pt idx="18">
                  <c:v>17</c:v>
                </c:pt>
                <c:pt idx="19">
                  <c:v>18</c:v>
                </c:pt>
                <c:pt idx="20">
                  <c:v>19</c:v>
                </c:pt>
                <c:pt idx="21">
                  <c:v>20</c:v>
                </c:pt>
                <c:pt idx="22">
                  <c:v>21</c:v>
                </c:pt>
                <c:pt idx="23">
                  <c:v>22</c:v>
                </c:pt>
                <c:pt idx="24">
                  <c:v>23</c:v>
                </c:pt>
                <c:pt idx="25">
                  <c:v>24</c:v>
                </c:pt>
                <c:pt idx="26">
                  <c:v>25</c:v>
                </c:pt>
                <c:pt idx="27">
                  <c:v>26</c:v>
                </c:pt>
                <c:pt idx="28">
                  <c:v>27</c:v>
                </c:pt>
                <c:pt idx="29">
                  <c:v>28</c:v>
                </c:pt>
                <c:pt idx="30">
                  <c:v>29</c:v>
                </c:pt>
                <c:pt idx="31">
                  <c:v>30</c:v>
                </c:pt>
                <c:pt idx="32">
                  <c:v>31</c:v>
                </c:pt>
                <c:pt idx="33">
                  <c:v>32</c:v>
                </c:pt>
                <c:pt idx="34">
                  <c:v>33</c:v>
                </c:pt>
                <c:pt idx="35">
                  <c:v>34</c:v>
                </c:pt>
                <c:pt idx="36">
                  <c:v>35</c:v>
                </c:pt>
                <c:pt idx="37">
                  <c:v>36</c:v>
                </c:pt>
                <c:pt idx="38">
                  <c:v>37</c:v>
                </c:pt>
                <c:pt idx="39">
                  <c:v>38</c:v>
                </c:pt>
                <c:pt idx="40">
                  <c:v>39</c:v>
                </c:pt>
                <c:pt idx="41">
                  <c:v>40</c:v>
                </c:pt>
                <c:pt idx="42">
                  <c:v>41</c:v>
                </c:pt>
                <c:pt idx="43">
                  <c:v>42</c:v>
                </c:pt>
                <c:pt idx="44">
                  <c:v>43</c:v>
                </c:pt>
                <c:pt idx="45">
                  <c:v>44</c:v>
                </c:pt>
                <c:pt idx="46">
                  <c:v>45</c:v>
                </c:pt>
                <c:pt idx="47">
                  <c:v>46</c:v>
                </c:pt>
                <c:pt idx="48">
                  <c:v>47</c:v>
                </c:pt>
                <c:pt idx="49">
                  <c:v>48</c:v>
                </c:pt>
                <c:pt idx="50">
                  <c:v>49</c:v>
                </c:pt>
                <c:pt idx="51">
                  <c:v>50</c:v>
                </c:pt>
                <c:pt idx="52">
                  <c:v>51</c:v>
                </c:pt>
                <c:pt idx="53">
                  <c:v>52</c:v>
                </c:pt>
              </c:numCache>
            </c:numRef>
          </c:cat>
          <c:val>
            <c:numRef>
              <c:f>'IRF - JN'!$E$3:$E$56</c:f>
              <c:numCache>
                <c:formatCode>General</c:formatCode>
                <c:ptCount val="54"/>
                <c:pt idx="2">
                  <c:v>9.8790000000000006E-3</c:v>
                </c:pt>
                <c:pt idx="3">
                  <c:v>1.4375000000000001E-2</c:v>
                </c:pt>
                <c:pt idx="4">
                  <c:v>1.5821999999999999E-2</c:v>
                </c:pt>
                <c:pt idx="5">
                  <c:v>1.6818E-2</c:v>
                </c:pt>
                <c:pt idx="6">
                  <c:v>1.7645999999999998E-2</c:v>
                </c:pt>
                <c:pt idx="7">
                  <c:v>1.8364999999999999E-2</c:v>
                </c:pt>
                <c:pt idx="8">
                  <c:v>1.8995999999999999E-2</c:v>
                </c:pt>
                <c:pt idx="9">
                  <c:v>1.9550000000000001E-2</c:v>
                </c:pt>
                <c:pt idx="10">
                  <c:v>2.0038E-2</c:v>
                </c:pt>
                <c:pt idx="11">
                  <c:v>2.0468E-2</c:v>
                </c:pt>
                <c:pt idx="12">
                  <c:v>2.0844999999999999E-2</c:v>
                </c:pt>
                <c:pt idx="13">
                  <c:v>2.1177999999999999E-2</c:v>
                </c:pt>
                <c:pt idx="14">
                  <c:v>2.147E-2</c:v>
                </c:pt>
                <c:pt idx="15">
                  <c:v>2.1727E-2</c:v>
                </c:pt>
                <c:pt idx="16">
                  <c:v>2.1954000000000001E-2</c:v>
                </c:pt>
                <c:pt idx="17">
                  <c:v>2.2152999999999999E-2</c:v>
                </c:pt>
                <c:pt idx="18">
                  <c:v>2.2328000000000001E-2</c:v>
                </c:pt>
                <c:pt idx="19">
                  <c:v>2.2481999999999999E-2</c:v>
                </c:pt>
                <c:pt idx="20">
                  <c:v>2.2617999999999999E-2</c:v>
                </c:pt>
                <c:pt idx="21">
                  <c:v>2.2738000000000001E-2</c:v>
                </c:pt>
                <c:pt idx="22">
                  <c:v>2.2842999999999999E-2</c:v>
                </c:pt>
                <c:pt idx="23">
                  <c:v>2.2935000000000001E-2</c:v>
                </c:pt>
                <c:pt idx="24">
                  <c:v>2.3016000000000002E-2</c:v>
                </c:pt>
                <c:pt idx="25">
                  <c:v>2.3088000000000001E-2</c:v>
                </c:pt>
                <c:pt idx="26">
                  <c:v>2.3151000000000001E-2</c:v>
                </c:pt>
                <c:pt idx="27">
                  <c:v>2.3206000000000001E-2</c:v>
                </c:pt>
                <c:pt idx="28">
                  <c:v>2.3255000000000001E-2</c:v>
                </c:pt>
                <c:pt idx="29">
                  <c:v>2.3297999999999999E-2</c:v>
                </c:pt>
                <c:pt idx="30">
                  <c:v>2.3335999999999999E-2</c:v>
                </c:pt>
                <c:pt idx="31">
                  <c:v>2.3369000000000001E-2</c:v>
                </c:pt>
                <c:pt idx="32">
                  <c:v>2.3397999999999999E-2</c:v>
                </c:pt>
                <c:pt idx="33">
                  <c:v>2.3424E-2</c:v>
                </c:pt>
                <c:pt idx="34">
                  <c:v>2.3446000000000002E-2</c:v>
                </c:pt>
                <c:pt idx="35">
                  <c:v>2.3466000000000001E-2</c:v>
                </c:pt>
                <c:pt idx="36">
                  <c:v>2.3484000000000001E-2</c:v>
                </c:pt>
                <c:pt idx="37">
                  <c:v>2.3498999999999999E-2</c:v>
                </c:pt>
                <c:pt idx="38">
                  <c:v>2.3512999999999999E-2</c:v>
                </c:pt>
                <c:pt idx="39">
                  <c:v>2.3525000000000001E-2</c:v>
                </c:pt>
                <c:pt idx="40">
                  <c:v>2.3535E-2</c:v>
                </c:pt>
                <c:pt idx="41">
                  <c:v>2.3543999999999999E-2</c:v>
                </c:pt>
                <c:pt idx="42">
                  <c:v>2.3552E-2</c:v>
                </c:pt>
                <c:pt idx="43">
                  <c:v>2.3560000000000001E-2</c:v>
                </c:pt>
                <c:pt idx="44">
                  <c:v>2.3566E-2</c:v>
                </c:pt>
                <c:pt idx="45">
                  <c:v>2.3571000000000002E-2</c:v>
                </c:pt>
                <c:pt idx="46">
                  <c:v>2.3576E-2</c:v>
                </c:pt>
                <c:pt idx="47">
                  <c:v>2.3581000000000001E-2</c:v>
                </c:pt>
                <c:pt idx="48">
                  <c:v>2.3584000000000001E-2</c:v>
                </c:pt>
                <c:pt idx="49">
                  <c:v>2.3588000000000001E-2</c:v>
                </c:pt>
                <c:pt idx="50">
                  <c:v>2.3591000000000001E-2</c:v>
                </c:pt>
                <c:pt idx="51">
                  <c:v>2.3592999999999999E-2</c:v>
                </c:pt>
                <c:pt idx="52">
                  <c:v>2.3595000000000001E-2</c:v>
                </c:pt>
                <c:pt idx="53">
                  <c:v>2.3597E-2</c:v>
                </c:pt>
              </c:numCache>
            </c:numRef>
          </c:val>
          <c:smooth val="0"/>
          <c:extLst>
            <c:ext xmlns:c16="http://schemas.microsoft.com/office/drawing/2014/chart" uri="{C3380CC4-5D6E-409C-BE32-E72D297353CC}">
              <c16:uniqueId val="{00000002-C11E-4589-B693-22CB0B4D026D}"/>
            </c:ext>
          </c:extLst>
        </c:ser>
        <c:dLbls>
          <c:showLegendKey val="0"/>
          <c:showVal val="0"/>
          <c:showCatName val="0"/>
          <c:showSerName val="0"/>
          <c:showPercent val="0"/>
          <c:showBubbleSize val="0"/>
        </c:dLbls>
        <c:smooth val="0"/>
        <c:axId val="499264104"/>
        <c:axId val="499264888"/>
      </c:lineChart>
      <c:catAx>
        <c:axId val="499264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9264888"/>
        <c:crosses val="autoZero"/>
        <c:auto val="1"/>
        <c:lblAlgn val="ctr"/>
        <c:lblOffset val="100"/>
        <c:noMultiLvlLbl val="0"/>
      </c:catAx>
      <c:valAx>
        <c:axId val="499264888"/>
        <c:scaling>
          <c:orientation val="minMax"/>
          <c:min val="5.000000000000001E-3"/>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9264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0.88542</cdr:x>
      <cdr:y>0.26042</cdr:y>
    </cdr:from>
    <cdr:to>
      <cdr:x>0.8875</cdr:x>
      <cdr:y>0.32986</cdr:y>
    </cdr:to>
    <cdr:cxnSp macro="">
      <cdr:nvCxnSpPr>
        <cdr:cNvPr id="3" name="Straight Arrow Connector 2"/>
        <cdr:cNvCxnSpPr/>
      </cdr:nvCxnSpPr>
      <cdr:spPr>
        <a:xfrm xmlns:a="http://schemas.openxmlformats.org/drawingml/2006/main">
          <a:off x="4048125" y="714375"/>
          <a:ext cx="9525" cy="1905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fos97</b:Tag>
    <b:SourceType>JournalArticle</b:SourceType>
    <b:Guid>{2064A954-1993-42DE-8370-BE1D985A30D2}</b:Guid>
    <b:Author>
      <b:Author>
        <b:NameList>
          <b:Person>
            <b:Last>Foster</b:Last>
            <b:First>George</b:First>
          </b:Person>
          <b:Person>
            <b:Last>Swenson</b:Last>
            <b:First>Dan</b:First>
          </b:Person>
        </b:NameList>
      </b:Author>
    </b:Author>
    <b:Title>measuting the success of activity-based cost management and its determinents</b:Title>
    <b:Year>1997</b:Year>
    <b:JournalName>journal of management accounting reserach</b:JournalName>
    <b:Pages>1-38</b:Pages>
    <b:RefOrder>1</b:RefOrder>
  </b:Source>
  <b:Source>
    <b:Tag>Rug93</b:Tag>
    <b:SourceType>JournalArticle</b:SourceType>
    <b:Guid>{39A1EE0C-B511-4C60-9BFA-DBC5D288E96B}</b:Guid>
    <b:Title>Vertical Fiscal Imbalance and the Reallocation of Tax Fields in Canada</b:Title>
    <b:Year>1993</b:Year>
    <b:Pages>194-215</b:Pages>
    <b:JournalName>Source: Canadian Public Policy / Analyse de Politiques</b:JournalName>
    <b:Author>
      <b:Author>
        <b:NameList>
          <b:Person>
            <b:Last>Ruggeri</b:Last>
            <b:Middle>C.</b:Middle>
            <b:First>G.</b:First>
          </b:Person>
          <b:Person>
            <b:Last>Wart</b:Last>
            <b:Middle>Van</b:Middle>
            <b:First>D.</b:First>
          </b:Person>
          <b:Person>
            <b:Last>Robertson</b:Last>
            <b:Middle>K.</b:Middle>
            <b:First>G.</b:First>
          </b:Person>
          <b:Person>
            <b:Last>Howard</b:Last>
            <b:First>R.</b:First>
          </b:Person>
        </b:NameList>
      </b:Author>
    </b:Author>
    <b:Volume>19</b:Volume>
    <b:Issue>2</b:Issue>
    <b:RefOrder>1</b:RefOrder>
  </b:Source>
  <b:Source>
    <b:Tag>Ste99</b:Tag>
    <b:SourceType>JournalArticle</b:SourceType>
    <b:Guid>{14A137D4-BCE9-46F8-B196-FF278AE42FDF}</b:Guid>
    <b:Title>Fiscal Decentralization and Government Size in Latin America</b:Title>
    <b:JournalName>Journal of Applied Economics</b:JournalName>
    <b:Year>1999</b:Year>
    <b:Pages>357-391</b:Pages>
    <b:Author>
      <b:Author>
        <b:NameList>
          <b:Person>
            <b:Last>Stein</b:Last>
            <b:First>Ernesto</b:First>
          </b:Person>
        </b:NameList>
      </b:Author>
    </b:Author>
    <b:Volume>II</b:Volume>
    <b:Issue>2</b:Issue>
    <b:RefOrder>2</b:RefOrder>
  </b:Source>
  <b:Source>
    <b:Tag>Che05</b:Tag>
    <b:SourceType>JournalArticle</b:SourceType>
    <b:Guid>{7F377E96-EAFD-46CB-B662-19DB0F2B46F2}</b:Guid>
    <b:Title>Malady of Continuing Fiscal Imbalance</b:Title>
    <b:Year>2005</b:Year>
    <b:Pages>3399-3404</b:Pages>
    <b:JournalName>Economic and Political Weekly</b:JournalName>
    <b:Author>
      <b:Author>
        <b:NameList>
          <b:Person>
            <b:Last>Chelliah</b:Last>
            <b:Middle>J.</b:Middle>
            <b:First>Raja </b:First>
          </b:Person>
        </b:NameList>
      </b:Author>
    </b:Author>
    <b:Volume>40</b:Volume>
    <b:Issue>31</b:Issue>
    <b:RefOrder>3</b:RefOrder>
  </b:Source>
  <b:Source>
    <b:Tag>Dol06</b:Tag>
    <b:SourceType>ArticleInAPeriodical</b:SourceType>
    <b:Guid>{2F7D3A1B-BAFF-4518-AB0B-E8F0B7C93B77}</b:Guid>
    <b:Title>A Century of Vertical Fiscal Imbalance in Australian Federalism</b:Title>
    <b:Year>2002</b:Year>
    <b:PeriodicalTitle>Working Paper Series in Economics</b:PeriodicalTitle>
    <b:Author>
      <b:Author>
        <b:NameList>
          <b:Person>
            <b:Last>Dollery </b:Last>
            <b:First>Brian</b:First>
          </b:Person>
        </b:NameList>
      </b:Author>
    </b:Author>
    <b:Publisher>University of New England School of Economics</b:Publisher>
    <b:RefOrder>4</b:RefOrder>
  </b:Source>
  <b:Source>
    <b:Tag>Guo08</b:Tag>
    <b:SourceType>JournalArticle</b:SourceType>
    <b:Guid>{74630CEE-1C69-4440-9546-1E1052B7D852}</b:Guid>
    <b:Title>Vertical Imbalance and Local Fiscal Discipline in China</b:Title>
    <b:JournalName>Journal of East Asian Studies</b:JournalName>
    <b:Year>2008</b:Year>
    <b:Pages>61-88</b:Pages>
    <b:Author>
      <b:Author>
        <b:NameList>
          <b:Person>
            <b:Last>Guo</b:Last>
            <b:First>Gang</b:First>
          </b:Person>
        </b:NameList>
      </b:Author>
    </b:Author>
    <b:Volume>8</b:Volume>
    <b:Issue>1</b:Issue>
    <b:RefOrder>5</b:RefOrder>
  </b:Source>
  <b:Source>
    <b:Tag>Mel16</b:Tag>
    <b:SourceType>JournalArticle</b:SourceType>
    <b:Guid>{5D80B7E2-BF34-4BC2-A6D6-F266E57656CD}</b:Guid>
    <b:Title>Electoral Opportunism and Vertical Fiscal Imbalance</b:Title>
    <b:Year>2016</b:Year>
    <b:Author>
      <b:Author>
        <b:NameList>
          <b:Person>
            <b:Last>Meloni</b:Last>
            <b:First>Osvaldo </b:First>
          </b:Person>
        </b:NameList>
      </b:Author>
    </b:Author>
    <b:Pages>145-167</b:Pages>
    <b:JournalName>Journal of Applied Economics</b:JournalName>
    <b:Volume>19</b:Volume>
    <b:Issue>1</b:Issue>
    <b:RefOrder>6</b:RefOrder>
  </b:Source>
  <b:Source>
    <b:Tag>Clo04</b:Tag>
    <b:SourceType>JournalArticle</b:SourceType>
    <b:Guid>{918AC1AF-804D-4091-B864-6B988D3E1E1D}</b:Guid>
    <b:Title>Closing the Gap: Fiscal Imbalances and Intergovernmental Transfers in Developed Federations</b:Title>
    <b:Year>2004</b:Year>
    <b:Pages>77-102</b:Pages>
    <b:JournalName>Environment and Planning C: Government and Policy</b:JournalName>
    <b:Author>
      <b:Author>
        <b:NameList>
          <b:Person>
            <b:Last>Bird</b:Last>
            <b:Middle>M.</b:Middle>
            <b:First>Richard</b:First>
          </b:Person>
          <b:Person>
            <b:Last>Tarasov</b:Last>
            <b:Middle>V </b:Middle>
            <b:First>Andrey</b:First>
          </b:Person>
        </b:NameList>
      </b:Author>
    </b:Author>
    <b:Volume>22</b:Volume>
    <b:RefOrder>7</b:RefOrder>
  </b:Source>
  <b:Source>
    <b:Tag>Rod05</b:Tag>
    <b:SourceType>Book</b:SourceType>
    <b:Guid>{D5BB736F-3751-4BBB-8165-44DFA52E0452}</b:Guid>
    <b:Title>Hamilton's Paradox: The Promise and Peril of Fiscal Federalism</b:Title>
    <b:Year>2005</b:Year>
    <b:Publisher>Cambridge University Press</b:Publisher>
    <b:Author>
      <b:Author>
        <b:NameList>
          <b:Person>
            <b:Last>Rodden</b:Last>
            <b:Middle>A.</b:Middle>
            <b:First>Jonathan </b:First>
          </b:Person>
        </b:NameList>
      </b:Author>
    </b:Author>
    <b:RefOrder>8</b:RefOrder>
  </b:Source>
  <b:Source>
    <b:Tag>Bah15</b:Tag>
    <b:SourceType>BookSection</b:SourceType>
    <b:Guid>{0E1D465A-2B56-4CE0-B176-7009EEB4FAFA}</b:Guid>
    <b:Title>The Potential of Provincial Taxation</b:Title>
    <b:BookTitle>The Role of Taxation in Pakistan's Revival</b:BookTitle>
    <b:Year>2015</b:Year>
    <b:Pages>488-548</b:Pages>
    <b:City>Karachi</b:City>
    <b:Publisher>Oxford University Press</b:Publisher>
    <b:Author>
      <b:Author>
        <b:NameList>
          <b:Person>
            <b:Last>Bahl</b:Last>
            <b:First>Roy</b:First>
          </b:Person>
          <b:Person>
            <b:Last>Cyan</b:Last>
            <b:Middle>R.</b:Middle>
            <b:First>Musharraf</b:First>
          </b:Person>
          <b:Person>
            <b:Last>Wallace</b:Last>
            <b:First>Sally</b:First>
          </b:Person>
        </b:NameList>
      </b:Author>
      <b:Editor>
        <b:NameList>
          <b:Person>
            <b:Last>Martinez-Vazquez</b:Last>
            <b:First>Jorge</b:First>
          </b:Person>
        </b:NameList>
      </b:Editor>
    </b:Author>
    <b:RefOrder>9</b:RefOrder>
  </b:Source>
  <b:Source>
    <b:Tag>Kur04</b:Tag>
    <b:SourceType>BookSection</b:SourceType>
    <b:Guid>{F4D2E139-1CBC-41AC-87DA-094FAC324B32}</b:Guid>
    <b:Title>Rising Revenue Gap of the States - Dimensions of the Problem and Possible Approaches for a Solution</b:Title>
    <b:Year>2004</b:Year>
    <b:Pages>128-159</b:Pages>
    <b:BookTitle>The Dynamics of Fiscal Federalism Challenges Before the Twelfth Finance Commission</b:BookTitle>
    <b:City>New Delhi</b:City>
    <b:Publisher>Taxmann Publications Pvt. Ltd. </b:Publisher>
    <b:Author>
      <b:Author>
        <b:NameList>
          <b:Person>
            <b:Last>Kurian</b:Last>
            <b:Middle>J.</b:Middle>
            <b:First>N.</b:First>
          </b:Person>
          <b:Person>
            <b:Last>Gupta</b:Last>
            <b:Middle>Das</b:Middle>
            <b:First>Sushmita</b:First>
          </b:Person>
        </b:NameList>
      </b:Author>
      <b:Editor>
        <b:NameList>
          <b:Person>
            <b:Last>Srivastava</b:Last>
            <b:Middle>C.</b:Middle>
            <b:First>G.</b:First>
          </b:Person>
        </b:NameList>
      </b:Editor>
    </b:Author>
    <b:RefOrder>10</b:RefOrder>
  </b:Source>
  <b:Source>
    <b:Tag>Blö09</b:Tag>
    <b:SourceType>ArticleInAPeriodical</b:SourceType>
    <b:Guid>{96D56AFE-28A8-44E3-8A6F-C4E11A8F8FF4}</b:Guid>
    <b:Title>Taxes and Grants: On the Revenue Mix of Sub-Central Governments</b:Title>
    <b:Year>2009</b:Year>
    <b:Author>
      <b:Author>
        <b:NameList>
          <b:Person>
            <b:Last>Blöchliger </b:Last>
            <b:First>Hansjörg</b:First>
          </b:Person>
          <b:Person>
            <b:Last>Petzold</b:Last>
            <b:First>Oliver</b:First>
          </b:Person>
        </b:NameList>
      </b:Author>
    </b:Author>
    <b:PeriodicalTitle>Working Paper 7</b:PeriodicalTitle>
    <b:Publisher>OECD</b:Publisher>
    <b:RefOrder>11</b:RefOrder>
  </b:Source>
  <b:Source>
    <b:Tag>Sor16</b:Tag>
    <b:SourceType>ArticleInAPeriodical</b:SourceType>
    <b:Guid>{7E0AE89B-5C76-4FED-9EEA-1789F8CE78F6}</b:Guid>
    <b:Title>Vertical Fiscal Gaps and Economic Performance: A Theoretical Review and an Empirical Meta-analysis</b:Title>
    <b:Year>2016</b:Year>
    <b:Author>
      <b:Author>
        <b:NameList>
          <b:Person>
            <b:Last>Sorens</b:Last>
            <b:First>Jason </b:First>
          </b:Person>
        </b:NameList>
      </b:Author>
    </b:Author>
    <b:City>Arlington, VA</b:City>
    <b:PeriodicalTitle>Mercatus Working Paper, Marcatus Center, George Mason Univeristy</b:PeriodicalTitle>
    <b:RefOrder>12</b:RefOrder>
  </b:Source>
  <b:Source>
    <b:Tag>Kha09</b:Tag>
    <b:SourceType>Book</b:SourceType>
    <b:Guid>{764A9DAB-496D-491C-AE6A-EA500DEF8B74}</b:Guid>
    <b:Title>Constitutional and Political History of Pakistan</b:Title>
    <b:Year>2009</b:Year>
    <b:City>Karachi</b:City>
    <b:Publisher>Oxford University Press</b:Publisher>
    <b:Author>
      <b:Author>
        <b:NameList>
          <b:Person>
            <b:Last>Khan</b:Last>
            <b:First>Hamid</b:First>
          </b:Person>
        </b:NameList>
      </b:Author>
    </b:Author>
    <b:Edition>Second</b:Edition>
    <b:RefOrder>13</b:RefOrder>
  </b:Source>
  <b:Source>
    <b:Tag>Pak73</b:Tag>
    <b:SourceType>ArticleInAPeriodical</b:SourceType>
    <b:Guid>{2A5B218F-0A08-4F54-A94F-AF837A28876D}</b:Guid>
    <b:Title>The Constitution of the Islamic Republic of Pakistan</b:Title>
    <b:Year>1973</b:Year>
    <b:Author>
      <b:Author>
        <b:NameList>
          <b:Person>
            <b:Last>Pakistan, Natioanl Assembly of</b:Last>
          </b:Person>
        </b:NameList>
      </b:Author>
    </b:Author>
    <b:RefOrder>14</b:RefOrder>
  </b:Source>
  <b:Source>
    <b:Tag>Kha151</b:Tag>
    <b:SourceType>BookSection</b:SourceType>
    <b:Guid>{D37C3E53-D70B-4A50-B09C-5000BA88834F}</b:Guid>
    <b:Title>Fiscal Federalism in Pakistan: Emerging Dynamics, Issues and Prospects</b:Title>
    <b:Year>2015</b:Year>
    <b:Pages>362-389</b:Pages>
    <b:Author>
      <b:Author>
        <b:Corporate>Khan, Asim Bashir</b:Corporate>
      </b:Author>
      <b:BookAuthor>
        <b:NameList>
          <b:Person>
            <b:Last>Zaidi</b:Last>
            <b:Middle>Akbar</b:Middle>
            <b:First>S.</b:First>
          </b:Person>
        </b:NameList>
      </b:BookAuthor>
    </b:Author>
    <b:BookTitle>Issues in Pakistan's Economy: A Political Economy Perspective</b:BookTitle>
    <b:City>Karachi</b:City>
    <b:Publisher>Oxford University Press</b:Publisher>
    <b:RefOrder>15</b:RefOrder>
  </b:Source>
  <b:Source>
    <b:Tag>Loc99</b:Tag>
    <b:SourceType>JournalArticle</b:SourceType>
    <b:Guid>{3C302F46-6C18-4D1C-913F-BE4D135BEE11}</b:Guid>
    <b:Title>Inter-regional Insurance</b:Title>
    <b:JournalName>Journal of Public Economics</b:JournalName>
    <b:Year>1999</b:Year>
    <b:Pages>1-37</b:Pages>
    <b:Author>
      <b:Author>
        <b:NameList>
          <b:Person>
            <b:Last>Lockwood</b:Last>
            <b:First>B.</b:First>
          </b:Person>
        </b:NameList>
      </b:Author>
    </b:Author>
    <b:Volume>72</b:Volume>
    <b:Issue>1</b:Issue>
    <b:RefOrder>16</b:RefOrder>
  </b:Source>
  <b:Source>
    <b:Tag>Hin95</b:Tag>
    <b:SourceType>JournalArticle</b:SourceType>
    <b:Guid>{2E486B1F-54D0-4BE6-9E41-32AFD6B8C4F7}</b:Guid>
    <b:Title>Anamolies: The Flypaper Effect</b:Title>
    <b:Year>1995</b:Year>
    <b:Pages>217-226</b:Pages>
    <b:JournalName>Journal of Economic Perspectives</b:JournalName>
    <b:Volume>9</b:Volume>
    <b:Issue>4</b:Issue>
    <b:Author>
      <b:Author>
        <b:NameList>
          <b:Person>
            <b:Last>Hines</b:Last>
            <b:Middle>R., Jr.</b:Middle>
            <b:First>James </b:First>
          </b:Person>
          <b:Person>
            <b:Last>Thaler</b:Last>
            <b:Middle>H.</b:Middle>
            <b:First>Richard</b:First>
          </b:Person>
        </b:NameList>
      </b:Author>
    </b:Author>
    <b:RefOrder>17</b:RefOrder>
  </b:Source>
  <b:Source>
    <b:Tag>Kni02</b:Tag>
    <b:SourceType>JournalArticle</b:SourceType>
    <b:Guid>{E1D41DC1-27CF-40D3-9CB3-9DC7ABF488F6}</b:Guid>
    <b:Title>Endogenous Federal Grants and Crowd-Out of State Government Spending: Theory and Evidence from the Federal Highway Aid Program</b:Title>
    <b:JournalName>American Economic Review</b:JournalName>
    <b:Year>2002</b:Year>
    <b:Pages>71-92</b:Pages>
    <b:Author>
      <b:Author>
        <b:NameList>
          <b:Person>
            <b:Last>Knight</b:Last>
            <b:First>Brian</b:First>
          </b:Person>
        </b:NameList>
      </b:Author>
    </b:Author>
    <b:Volume>92</b:Volume>
    <b:Issue>1</b:Issue>
    <b:RefOrder>18</b:RefOrder>
  </b:Source>
  <b:Source>
    <b:Tag>Sha12</b:Tag>
    <b:SourceType>JournalArticle</b:SourceType>
    <b:Guid>{E6316B5F-942F-4386-9A67-0DF55CD2EEC6}</b:Guid>
    <b:Title>Beyond Gaps and Imbalances: Restructuring the Debate on Intergovernmental Fiscal Relations</b:Title>
    <b:JournalName>Public Administration—An International Quarterly</b:JournalName>
    <b:Year>2012</b:Year>
    <b:Pages>99-128</b:Pages>
    <b:Author>
      <b:Author>
        <b:NameList>
          <b:Person>
            <b:Last>Sharma</b:Last>
            <b:Middle>Kumar</b:Middle>
            <b:First>Chanchal </b:First>
          </b:Person>
        </b:NameList>
      </b:Author>
    </b:Author>
    <b:Volume>90</b:Volume>
    <b:Issue>1</b:Issue>
    <b:RefOrder>19</b:RefOrder>
  </b:Source>
  <b:Source>
    <b:Tag>Hun74</b:Tag>
    <b:SourceType>JournalArticle</b:SourceType>
    <b:Guid>{A3E2EB4D-26E0-43B6-A896-08E7AEA21D99}</b:Guid>
    <b:Title>Vertical Intergovernmental Financial Imbalance: A Framework for Evaluation</b:Title>
    <b:JournalName>FinanzArchiv / Public Finance Analysis</b:JournalName>
    <b:Year>1974</b:Year>
    <b:Pages>481-492</b:Pages>
    <b:Author>
      <b:Author>
        <b:NameList>
          <b:Person>
            <b:Last>Hunter</b:Last>
            <b:First>J.S.H.</b:First>
          </b:Person>
        </b:NameList>
      </b:Author>
    </b:Author>
    <b:Volume>32</b:Volume>
    <b:Issue>3</b:Issue>
    <b:RefOrder>20</b:RefOrder>
  </b:Source>
  <b:Source>
    <b:Tag>GTh76</b:Tag>
    <b:SourceType>JournalArticle</b:SourceType>
    <b:Guid>{00FED62D-4C9B-41A7-8556-07BB40D7FB48}</b:Guid>
    <b:Title>Vertical Intergovernmental Financial Imbalance: A Restatement</b:Title>
    <b:Year>1976</b:Year>
    <b:Author>
      <b:Author>
        <b:NameList>
          <b:Person>
            <b:Last>G. Thimmaiah</b:Last>
          </b:Person>
        </b:NameList>
      </b:Author>
    </b:Author>
    <b:Pages>497-508</b:Pages>
    <b:JournalName>FinanzArchiv / Public Finance Analysis</b:JournalName>
    <b:Volume>34</b:Volume>
    <b:Issue>3</b:Issue>
    <b:RefOrder>21</b:RefOrder>
  </b:Source>
  <b:Source>
    <b:Tag>Het86</b:Tag>
    <b:SourceType>JournalArticle</b:SourceType>
    <b:Guid>{25DDE653-1CAE-4520-A499-FDC03F911CC7}</b:Guid>
    <b:Title>Vertical Imbalance in the Fiscal Systems of Federal States</b:Title>
    <b:JournalName>The Canadian Journal of Economics / Revue canadienne d'Economique</b:JournalName>
    <b:Year>1986</b:Year>
    <b:Pages>745-765</b:Pages>
    <b:Author>
      <b:Author>
        <b:NameList>
          <b:Person>
            <b:Last>Hettich</b:Last>
            <b:First>Walter</b:First>
          </b:Person>
          <b:Person>
            <b:Last>Winer</b:Last>
            <b:First>Stanley</b:First>
          </b:Person>
        </b:NameList>
      </b:Author>
    </b:Author>
    <b:Volume>19</b:Volume>
    <b:Issue>4</b:Issue>
    <b:RefOrder>22</b:RefOrder>
  </b:Source>
  <b:Source>
    <b:Tag>Kar12</b:Tag>
    <b:SourceType>ArticleInAPeriodical</b:SourceType>
    <b:Guid>{883644BB-957B-4B0C-9469-7A37C56030A4}</b:Guid>
    <b:Title>Narrowing Vertical Fiscal Imbalances in Four European Countries</b:Title>
    <b:Year>2012</b:Year>
    <b:PeriodicalTitle>IMF Working Paper WP/12/91</b:PeriodicalTitle>
    <b:Author>
      <b:Author>
        <b:NameList>
          <b:Person>
            <b:Last>Karpowicz</b:Last>
            <b:First>Izabela</b:First>
          </b:Person>
        </b:NameList>
      </b:Author>
    </b:Author>
    <b:RefOrder>23</b:RefOrder>
  </b:Source>
  <b:Source>
    <b:Tag>Eyr13</b:Tag>
    <b:SourceType>JournalArticle</b:SourceType>
    <b:Guid>{4BE73D2A-E706-4286-807E-B591DBCE96AF}</b:Guid>
    <b:Title>Vertical Fiscal Imbalances and Fiscal Performance in Advanced Economies</b:Title>
    <b:Year>2013</b:Year>
    <b:Pages>571–587</b:Pages>
    <b:JournalName>Journal of Monetary Economics</b:JournalName>
    <b:Author>
      <b:Author>
        <b:NameList>
          <b:Person>
            <b:Last>Eyraud</b:Last>
            <b:First>Luc </b:First>
          </b:Person>
          <b:Person>
            <b:Last>Lusinyan</b:Last>
            <b:First>Lusine</b:First>
          </b:Person>
        </b:NameList>
      </b:Author>
    </b:Author>
    <b:Volume>60</b:Volume>
    <b:RefOrder>24</b:RefOrder>
  </b:Source>
  <b:Source>
    <b:Tag>Ald14</b:Tag>
    <b:SourceType>ArticleInAPeriodical</b:SourceType>
    <b:Guid>{14970C60-6056-41EB-8BB1-903FF3753BAC}</b:Guid>
    <b:Title>Vertical Fiscal Imbalances and the Accumulation of Government Debt</b:Title>
    <b:PeriodicalTitle>IMF Working Paper WP/14/209</b:PeriodicalTitle>
    <b:Year>2014</b:Year>
    <b:Author>
      <b:Author>
        <b:NameList>
          <b:Person>
            <b:Last>Aldasoro</b:Last>
            <b:First>Iñaki</b:First>
          </b:Person>
          <b:Person>
            <b:Last>Seiferling</b:Last>
            <b:First>Mike</b:First>
          </b:Person>
        </b:NameList>
      </b:Author>
    </b:Author>
    <b:RefOrder>25</b:RefOrder>
  </b:Source>
  <b:Source xmlns:b="http://schemas.openxmlformats.org/officeDocument/2006/bibliography">
    <b:Tag>Col02</b:Tag>
    <b:SourceType>ConferenceProceedings</b:SourceType>
    <b:Guid>{8CBE29B9-C526-4CD9-8720-44DD821A3772}</b:Guid>
    <b:Title>The 2000 Reform of Intergovernmental Fiscal Arrangements in Australia</b:Title>
    <b:Year>2002</b:Year>
    <b:Pages>113-144</b:Pages>
    <b:Publisher>Canada: Commission on Fiscal Imbalance</b:Publisher>
    <b:City>Québec</b:City>
    <b:Author>
      <b:Author>
        <b:NameList>
          <b:Person>
            <b:Last>Collins</b:Last>
            <b:Middle>J.</b:Middle>
            <b:First>David</b:First>
          </b:Person>
        </b:NameList>
      </b:Author>
    </b:Author>
    <b:ConferenceName>International Symposium on Fiscal Imbalance: A Report</b:ConferenceName>
    <b:RefOrder>26</b:RefOrder>
  </b:Source>
  <b:Source>
    <b:Tag>Ebe02</b:Tag>
    <b:SourceType>ConferenceProceedings</b:SourceType>
    <b:Guid>{8B87AA34-3430-4B6F-BFF4-658FB0356EB1}</b:Guid>
    <b:Title>Concept of Fiscal Decentralisation and Worldwide Overview</b:Title>
    <b:Pages>145-174</b:Pages>
    <b:Year>2002</b:Year>
    <b:ConferenceName>International Symposium on Fiscal Imbalance: A Report</b:ConferenceName>
    <b:City>Québec</b:City>
    <b:Publisher>Canada: Commission on Fiscal Imbalance</b:Publisher>
    <b:Author>
      <b:Author>
        <b:NameList>
          <b:Person>
            <b:Last>Ebel</b:Last>
            <b:Middle>D.</b:Middle>
            <b:First>Robert</b:First>
          </b:Person>
          <b:Person>
            <b:Last>Yilmaz</b:Last>
            <b:First>Serdar</b:First>
          </b:Person>
        </b:NameList>
      </b:Author>
    </b:Author>
    <b:RefOrder>27</b:RefOrder>
  </b:Source>
  <b:Source>
    <b:Tag>Ahm97</b:Tag>
    <b:SourceType>BookSection</b:SourceType>
    <b:Guid>{4E2DF112-FF61-4243-B3A8-06A5EC662DD2}</b:Guid>
    <b:Title>Intergovernmental Transfers</b:Title>
    <b:Year>1997</b:Year>
    <b:City>Washington</b:City>
    <b:Publisher>International Monetary Fund</b:Publisher>
    <b:BookTitle>Fiscal Federalism in Theory and Practice</b:BookTitle>
    <b:Pages>73-107</b:Pages>
    <b:Author>
      <b:Author>
        <b:NameList>
          <b:Person>
            <b:Last>Ahmad</b:Last>
            <b:First>Ehtisham </b:First>
          </b:Person>
          <b:Person>
            <b:Last>Craig</b:Last>
            <b:First>Jon</b:First>
          </b:Person>
        </b:NameList>
      </b:Author>
      <b:Editor>
        <b:NameList>
          <b:Person>
            <b:Last>Ter-Minassian</b:Last>
            <b:First>Teresa</b:First>
          </b:Person>
        </b:NameList>
      </b:Editor>
    </b:Author>
    <b:RefOrder>28</b:RefOrder>
  </b:Source>
  <b:Source>
    <b:Tag>Ost03</b:Tag>
    <b:SourceType>Report</b:SourceType>
    <b:Guid>{54E571FD-BCE2-4730-B2C4-0776CF7C31F9}</b:Guid>
    <b:Title>How Decentralised is Government Activity?</b:Title>
    <b:Year>2003</b:Year>
    <b:Author>
      <b:Author>
        <b:NameList>
          <b:Person>
            <b:Last>Osterkamp</b:Last>
            <b:First>Rigmar </b:First>
          </b:Person>
          <b:Person>
            <b:Last>Eller</b:Last>
            <b:First>Markus</b:First>
          </b:Person>
        </b:NameList>
      </b:Author>
    </b:Author>
    <b:ThesisType>CESifo DICE Report</b:ThesisType>
    <b:RefOrder>29</b:RefOrder>
  </b:Source>
  <b:Source>
    <b:Tag>Mar88</b:Tag>
    <b:SourceType>JournalArticle</b:SourceType>
    <b:Guid>{806DF8DF-EB41-486D-A3EE-EF753C65BB67}</b:Guid>
    <b:Title>Fiscal Decentralization and Government Size</b:Title>
    <b:JournalName>Public Choice</b:JournalName>
    <b:Year>1988</b:Year>
    <b:Author>
      <b:Author>
        <b:NameList>
          <b:Person>
            <b:Last>Marlow</b:Last>
            <b:Middle>L.</b:Middle>
            <b:First>Michael</b:First>
          </b:Person>
        </b:NameList>
      </b:Author>
    </b:Author>
    <b:Pages>259-269</b:Pages>
    <b:Volume>56</b:Volume>
    <b:RefOrder>30</b:RefOrder>
  </b:Source>
  <b:Source>
    <b:Tag>WuA12</b:Tag>
    <b:SourceType>JournalArticle</b:SourceType>
    <b:Guid>{1CB4BF84-B47A-4620-94BD-CBABEC02E346}</b:Guid>
    <b:Title>Determinants of Government Size: Evidence from China</b:Title>
    <b:JournalName>Public Choice</b:JournalName>
    <b:Year>2012</b:Year>
    <b:Author>
      <b:Author>
        <b:NameList>
          <b:Person>
            <b:Last>Wu </b:Last>
            <b:Middle>M.</b:Middle>
            <b:First>Alfred </b:First>
          </b:Person>
          <b:Person>
            <b:Last>Lin</b:Last>
            <b:First>Mi</b:First>
          </b:Person>
        </b:NameList>
      </b:Author>
    </b:Author>
    <b:Pages>255-270</b:Pages>
    <b:Volume>15</b:Volume>
    <b:Issue>1</b:Issue>
    <b:RefOrder>31</b:RefOrder>
  </b:Source>
  <b:Source>
    <b:Tag>Can12</b:Tag>
    <b:SourceType>JournalArticle</b:SourceType>
    <b:Guid>{84823704-72B9-4845-96AB-138237369798}</b:Guid>
    <b:Title>Decentralization and Regional Government Size in Spain</b:Title>
    <b:Year>2012</b:Year>
    <b:Pages>211-237</b:Pages>
    <b:JournalName>Port Econ J.</b:JournalName>
    <b:Volume>11</b:Volume>
    <b:Author>
      <b:Author>
        <b:NameList>
          <b:Person>
            <b:Last>Cantarero</b:Last>
            <b:First>David</b:First>
          </b:Person>
          <b:Person>
            <b:Last>Perez</b:Last>
            <b:First>Patricio</b:First>
          </b:Person>
        </b:NameList>
      </b:Author>
    </b:Author>
    <b:RefOrder>32</b:RefOrder>
  </b:Source>
  <b:Source>
    <b:Tag>Cev</b:Tag>
    <b:SourceType>ArticleInAPeriodical</b:SourceType>
    <b:Guid>{2FD7E3F7-FE65-4F7A-9FA0-5FA8BE44BC79}</b:Guid>
    <b:Title>Fragmentation and Vertical Fiscal Imbalances: Lessons from Moldova</b:Title>
    <b:Author>
      <b:Author>
        <b:NameList>
          <b:Person>
            <b:Last>Cevik</b:Last>
            <b:First>Serhan </b:First>
          </b:Person>
        </b:NameList>
      </b:Author>
    </b:Author>
    <b:PeriodicalTitle>IMF Working Paper WP/14/233</b:PeriodicalTitle>
    <b:Year>2014</b:Year>
    <b:RefOrder>33</b:RefOrder>
  </b:Source>
  <b:Source>
    <b:Tag>Ben95</b:Tag>
    <b:SourceType>ConferenceProceedings</b:SourceType>
    <b:Guid>{E69E36F8-F276-4993-BB89-4A66C19B8BBE}</b:Guid>
    <b:Title>Temporal and Regional Decomposition of National Accounts of Pakistan; PhD Dissertation</b:Title>
    <b:Year>1995</b:Year>
    <b:Publisher>Department of Economics, University of Karachi</b:Publisher>
    <b:Author>
      <b:Author>
        <b:NameList>
          <b:Person>
            <b:Last>Bengaliwala</b:Last>
            <b:First>Kaiser</b:First>
          </b:Person>
        </b:NameList>
      </b:Author>
    </b:Author>
    <b:RefOrder>34</b:RefOrder>
  </b:Source>
  <b:Source>
    <b:Tag>Ben05</b:Tag>
    <b:SourceType>Report</b:SourceType>
    <b:Guid>{299449DB-EA13-432F-AF0F-D8C409218857}</b:Guid>
    <b:Title>Provincial Accounts of Pakistan: Methodology and Estimates 1973-2000; SPDC Working Paper No.5</b:Title>
    <b:Year>2005</b:Year>
    <b:Publisher>Social Policy Development Centre</b:Publisher>
    <b:City>Karachi</b:City>
    <b:Author>
      <b:Author>
        <b:NameList>
          <b:Person>
            <b:Last>Bengali</b:Last>
            <b:First>Kaiser</b:First>
          </b:Person>
          <b:Person>
            <b:Last>Sadaqat</b:Last>
            <b:First>Mahpara</b:First>
          </b:Person>
        </b:NameList>
      </b:Author>
    </b:Author>
    <b:RefOrder>35</b:RefOrder>
  </b:Source>
  <b:Source>
    <b:Tag>Arb08</b:Tag>
    <b:SourceType>ConferenceProceedings</b:SourceType>
    <b:Guid>{9D0B82BD-972F-41B9-BDFB-430B0D7CFFB5}</b:Guid>
    <b:Title>Some Issues in the National Income Accounts of Pakistan (Rebasing, Quarterly and Provincial Accounts and Growth Accounting); PhD Dissertation</b:Title>
    <b:Year>2008</b:Year>
    <b:Publisher>Pakistan Institute of Development Economics, Islamabad</b:Publisher>
    <b:Author>
      <b:Author>
        <b:NameList>
          <b:Person>
            <b:Last>Arby</b:Last>
            <b:Middle>Farooq</b:Middle>
            <b:First>Muhammad</b:First>
          </b:Person>
        </b:NameList>
      </b:Author>
    </b:Author>
    <b:PeriodicalTitle>PhD Dissertation</b:PeriodicalTitle>
    <b:RefOrder>36</b:RefOrder>
  </b:Source>
  <b:Source>
    <b:Tag>Pas15</b:Tag>
    <b:SourceType>Report</b:SourceType>
    <b:Guid>{9F586027-3743-4A1D-AE3E-DB7993820120}</b:Guid>
    <b:Title>Growth of the Provincial Economies</b:Title>
    <b:Year>2015</b:Year>
    <b:Publisher>Institute for Policy Reforms</b:Publisher>
    <b:City>Lahore</b:City>
    <b:Author>
      <b:Author>
        <b:NameList>
          <b:Person>
            <b:Last>Pasha</b:Last>
            <b:Middle>A.</b:Middle>
            <b:First>Hafiz</b:First>
          </b:Person>
        </b:NameList>
      </b:Author>
    </b:Author>
    <b:RefOrder>37</b:RefOrder>
  </b:Source>
  <b:Source>
    <b:Tag>Gro17</b:Tag>
    <b:SourceType>Report</b:SourceType>
    <b:Guid>{D53C962D-D4A5-4BF7-8349-A6B69CB28B73}</b:Guid>
    <b:Title>Sindh Public Expenditure Review</b:Title>
    <b:Year>2017</b:Year>
    <b:Publisher>The World Bank Group</b:Publisher>
    <b:Author>
      <b:Author>
        <b:Corporate>Group, The World Bank </b:Corporate>
      </b:Author>
    </b:Author>
    <b:RefOrder>38</b:RefOrder>
  </b:Source>
  <b:Source>
    <b:Tag>Chi05</b:Tag>
    <b:SourceType>JournalArticle</b:SourceType>
    <b:Guid>{4A71DC34-E21E-498F-9517-44C7CF97177F}</b:Guid>
    <b:Title>Empirical Study of the Relationship Between Energy Consumption and Gross Domestic Product in the USA</b:Title>
    <b:Year>2005</b:Year>
    <b:JournalName>International Business &amp; Economics Research Journal</b:JournalName>
    <b:Volume>4</b:Volume>
    <b:Issue>12</b:Issue>
    <b:Author>
      <b:Author>
        <b:NameList>
          <b:Person>
            <b:Last>Chima</b:Last>
            <b:Middle>M.</b:Middle>
            <b:First>Christopher </b:First>
          </b:Person>
          <b:Person>
            <b:Last>Freed</b:Last>
            <b:First>Rodney</b:First>
          </b:Person>
        </b:NameList>
      </b:Author>
    </b:Author>
    <b:RefOrder>39</b:RefOrder>
  </b:Source>
  <b:Source>
    <b:Tag>Dhu08</b:Tag>
    <b:SourceType>JournalArticle</b:SourceType>
    <b:Guid>{A701E160-DA3E-4992-9BC6-E19CE20D594C}</b:Guid>
    <b:Title>A Causal Relationship Between Energy Consumption and Economic Growth in Nepal</b:Title>
    <b:JournalName>Asia-Pacific Development Journal</b:JournalName>
    <b:Year>2008</b:Year>
    <b:Volume>15</b:Volume>
    <b:Issue>1</b:Issue>
    <b:Author>
      <b:Author>
        <b:NameList>
          <b:Person>
            <b:Last>Dhungel</b:Last>
            <b:Middle>Raj</b:Middle>
            <b:First>Kamal </b:First>
          </b:Person>
        </b:NameList>
      </b:Author>
    </b:Author>
    <b:RefOrder>40</b:RefOrder>
  </b:Source>
  <b:Source>
    <b:Tag>Cam13</b:Tag>
    <b:SourceType>JournalArticle</b:SourceType>
    <b:Guid>{5CBA4B20-8793-4B5B-8A2E-0084BA191857}</b:Guid>
    <b:Title>The Relationship Between Energy Consumptiona and GDP Evidence from A Panel of 10 Latin American Countries</b:Title>
    <b:JournalName>Latin American Journal of Economics</b:JournalName>
    <b:Year>2013</b:Year>
    <b:Pages>233-255</b:Pages>
    <b:Volume>50</b:Volume>
    <b:Issue>2</b:Issue>
    <b:Author>
      <b:Author>
        <b:NameList>
          <b:Person>
            <b:Last>Campo</b:Last>
            <b:First>Jacobo</b:First>
          </b:Person>
          <b:Person>
            <b:Last>Sarmiento</b:Last>
            <b:First>Viviana</b:First>
          </b:Person>
        </b:NameList>
      </b:Author>
    </b:Author>
    <b:RefOrder>41</b:RefOrder>
  </b:Source>
  <b:Source>
    <b:Tag>Ese17</b:Tag>
    <b:SourceType>JournalArticle</b:SourceType>
    <b:Guid>{13DBB93C-CBE9-442B-906D-261FB4DCA851}</b:Guid>
    <b:Title>Does More Energy Consumption Support Economic Growth in Net Energy-Importing Countries</b:Title>
    <b:JournalName>ournal of Economics, Finance and Administratrive Science</b:JournalName>
    <b:Year>2017</b:Year>
    <b:Pages>75-98</b:Pages>
    <b:Author>
      <b:Author>
        <b:NameList>
          <b:Person>
            <b:Last>Esen</b:Last>
            <b:First>Ömer</b:First>
          </b:Person>
          <b:Person>
            <b:Last>Bayrak</b:Last>
            <b:First>Metin</b:First>
          </b:Person>
        </b:NameList>
      </b:Author>
    </b:Author>
    <b:RefOrder>42</b:RefOrder>
  </b:Source>
</b:Sources>
</file>

<file path=customXml/itemProps1.xml><?xml version="1.0" encoding="utf-8"?>
<ds:datastoreItem xmlns:ds="http://schemas.openxmlformats.org/officeDocument/2006/customXml" ds:itemID="{BD4B66DA-C224-47F8-AF49-58DF9FFE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9021</Words>
  <Characters>51424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 M. Abdur Rehman</dc:creator>
  <cp:lastModifiedBy>Hafeez Rehman</cp:lastModifiedBy>
  <cp:revision>2</cp:revision>
  <cp:lastPrinted>2021-09-06T16:03:00Z</cp:lastPrinted>
  <dcterms:created xsi:type="dcterms:W3CDTF">2022-01-24T06:27:00Z</dcterms:created>
  <dcterms:modified xsi:type="dcterms:W3CDTF">2022-01-24T06:27:00Z</dcterms:modified>
</cp:coreProperties>
</file>